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05" w:rsidRDefault="00547DC3">
      <w:pPr>
        <w:spacing w:before="41"/>
        <w:ind w:left="1094"/>
        <w:rPr>
          <w:rFonts w:ascii="宋体" w:eastAsia="宋体" w:hint="eastAsia"/>
          <w:sz w:val="36"/>
          <w:lang w:eastAsia="zh-CN"/>
        </w:rPr>
      </w:pPr>
      <w:r>
        <w:rPr>
          <w:rFonts w:ascii="宋体" w:eastAsia="宋体" w:hint="eastAsia"/>
          <w:sz w:val="36"/>
          <w:lang w:eastAsia="zh-CN"/>
        </w:rPr>
        <w:t>南京审计大学</w:t>
      </w:r>
      <w:r>
        <w:rPr>
          <w:rFonts w:ascii="宋体" w:eastAsia="宋体" w:hint="eastAsia"/>
          <w:sz w:val="36"/>
          <w:lang w:eastAsia="zh-CN"/>
        </w:rPr>
        <w:t xml:space="preserve"> </w:t>
      </w:r>
      <w:r>
        <w:rPr>
          <w:rFonts w:ascii="Times New Roman" w:eastAsia="Times New Roman"/>
          <w:b/>
          <w:sz w:val="36"/>
          <w:lang w:eastAsia="zh-CN"/>
        </w:rPr>
        <w:t xml:space="preserve">2018 </w:t>
      </w:r>
      <w:r>
        <w:rPr>
          <w:rFonts w:ascii="宋体" w:eastAsia="宋体" w:hint="eastAsia"/>
          <w:sz w:val="36"/>
          <w:lang w:eastAsia="zh-CN"/>
        </w:rPr>
        <w:t>年硕士研究生（专业学位）招生目录</w:t>
      </w:r>
    </w:p>
    <w:p w:rsidR="00BC1005" w:rsidRDefault="00BC1005">
      <w:pPr>
        <w:pStyle w:val="a3"/>
        <w:spacing w:before="4"/>
        <w:ind w:left="0"/>
        <w:rPr>
          <w:rFonts w:ascii="宋体"/>
          <w:sz w:val="6"/>
          <w:lang w:eastAsia="zh-CN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1659"/>
      </w:tblGrid>
      <w:tr w:rsidR="00547DC3">
        <w:trPr>
          <w:trHeight w:val="800"/>
        </w:trPr>
        <w:tc>
          <w:tcPr>
            <w:tcW w:w="3223" w:type="dxa"/>
          </w:tcPr>
          <w:p w:rsidR="00547DC3" w:rsidRDefault="00547DC3">
            <w:pPr>
              <w:pStyle w:val="TableParagraph"/>
              <w:spacing w:before="7"/>
              <w:rPr>
                <w:sz w:val="20"/>
                <w:lang w:eastAsia="zh-CN"/>
              </w:rPr>
            </w:pPr>
          </w:p>
          <w:p w:rsidR="00547DC3" w:rsidRDefault="00547DC3">
            <w:pPr>
              <w:pStyle w:val="TableParagraph"/>
              <w:ind w:left="347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专业代码、名称及研究方向</w:t>
            </w:r>
          </w:p>
        </w:tc>
        <w:tc>
          <w:tcPr>
            <w:tcW w:w="1659" w:type="dxa"/>
          </w:tcPr>
          <w:p w:rsidR="00547DC3" w:rsidRDefault="00547DC3">
            <w:pPr>
              <w:pStyle w:val="TableParagraph"/>
              <w:spacing w:before="7"/>
              <w:rPr>
                <w:sz w:val="20"/>
                <w:lang w:eastAsia="zh-CN"/>
              </w:rPr>
            </w:pPr>
          </w:p>
          <w:p w:rsidR="00547DC3" w:rsidRDefault="00547DC3">
            <w:pPr>
              <w:pStyle w:val="TableParagraph"/>
              <w:ind w:left="387" w:right="35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拟招人数</w:t>
            </w:r>
            <w:proofErr w:type="spellEnd"/>
          </w:p>
        </w:tc>
      </w:tr>
      <w:tr w:rsidR="00547DC3">
        <w:trPr>
          <w:trHeight w:val="3275"/>
        </w:trPr>
        <w:tc>
          <w:tcPr>
            <w:tcW w:w="3223" w:type="dxa"/>
          </w:tcPr>
          <w:p w:rsidR="00547DC3" w:rsidRDefault="00547DC3">
            <w:pPr>
              <w:pStyle w:val="TableParagraph"/>
              <w:spacing w:before="98" w:line="417" w:lineRule="auto"/>
              <w:ind w:left="978" w:right="315" w:hanging="633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t xml:space="preserve">025700 </w:t>
            </w:r>
            <w:r>
              <w:rPr>
                <w:b/>
                <w:sz w:val="21"/>
                <w:lang w:eastAsia="zh-CN"/>
              </w:rPr>
              <w:t>审计硕士（</w:t>
            </w:r>
            <w:proofErr w:type="spellStart"/>
            <w:r>
              <w:rPr>
                <w:rFonts w:ascii="Times New Roman" w:eastAsia="Times New Roman"/>
                <w:b/>
                <w:sz w:val="21"/>
                <w:lang w:eastAsia="zh-CN"/>
              </w:rPr>
              <w:t>MAud</w:t>
            </w:r>
            <w:proofErr w:type="spellEnd"/>
            <w:r>
              <w:rPr>
                <w:b/>
                <w:sz w:val="21"/>
                <w:lang w:eastAsia="zh-CN"/>
              </w:rPr>
              <w:t>） 政府审计学院</w:t>
            </w:r>
          </w:p>
          <w:p w:rsidR="00547DC3" w:rsidRDefault="00547DC3">
            <w:pPr>
              <w:pStyle w:val="TableParagraph"/>
              <w:spacing w:line="269" w:lineRule="exact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01(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国家审计与国家治理</w:t>
            </w:r>
          </w:p>
          <w:p w:rsidR="00547DC3" w:rsidRDefault="00547DC3">
            <w:pPr>
              <w:pStyle w:val="TableParagraph"/>
              <w:spacing w:before="7"/>
              <w:rPr>
                <w:sz w:val="15"/>
                <w:lang w:eastAsia="zh-CN"/>
              </w:rPr>
            </w:pPr>
          </w:p>
          <w:p w:rsidR="00547DC3" w:rsidRDefault="00547DC3">
            <w:pPr>
              <w:pStyle w:val="TableParagraph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02(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审计法</w:t>
            </w:r>
          </w:p>
          <w:p w:rsidR="00547DC3" w:rsidRDefault="00547DC3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547DC3" w:rsidRDefault="00547DC3">
            <w:pPr>
              <w:pStyle w:val="TableParagraph"/>
              <w:spacing w:before="1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03(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信息系统审计</w:t>
            </w:r>
          </w:p>
          <w:p w:rsidR="00547DC3" w:rsidRDefault="00547DC3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547DC3" w:rsidRDefault="00547DC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26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全日制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  <w:proofErr w:type="spellStart"/>
            <w:r>
              <w:rPr>
                <w:sz w:val="21"/>
              </w:rPr>
              <w:t>政策审计</w:t>
            </w:r>
            <w:proofErr w:type="spellEnd"/>
          </w:p>
          <w:p w:rsidR="00547DC3" w:rsidRDefault="00547DC3">
            <w:pPr>
              <w:pStyle w:val="TableParagraph"/>
              <w:spacing w:before="7"/>
              <w:rPr>
                <w:sz w:val="15"/>
              </w:rPr>
            </w:pPr>
          </w:p>
          <w:p w:rsidR="00547DC3" w:rsidRDefault="00547DC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26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全日制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  <w:proofErr w:type="spellStart"/>
            <w:r>
              <w:rPr>
                <w:sz w:val="21"/>
              </w:rPr>
              <w:t>大数据审计</w:t>
            </w:r>
            <w:proofErr w:type="spellEnd"/>
          </w:p>
        </w:tc>
        <w:tc>
          <w:tcPr>
            <w:tcW w:w="1659" w:type="dxa"/>
          </w:tcPr>
          <w:p w:rsidR="00547DC3" w:rsidRDefault="00547DC3">
            <w:pPr>
              <w:pStyle w:val="TableParagraph"/>
            </w:pPr>
          </w:p>
          <w:p w:rsidR="00547DC3" w:rsidRDefault="00547DC3">
            <w:pPr>
              <w:pStyle w:val="TableParagraph"/>
            </w:pPr>
          </w:p>
          <w:p w:rsidR="00547DC3" w:rsidRDefault="00547DC3">
            <w:pPr>
              <w:pStyle w:val="TableParagraph"/>
            </w:pPr>
          </w:p>
          <w:p w:rsidR="00547DC3" w:rsidRDefault="00547DC3">
            <w:pPr>
              <w:pStyle w:val="TableParagraph"/>
            </w:pPr>
          </w:p>
          <w:p w:rsidR="00547DC3" w:rsidRDefault="00547DC3">
            <w:pPr>
              <w:pStyle w:val="TableParagraph"/>
              <w:spacing w:before="4"/>
              <w:rPr>
                <w:sz w:val="30"/>
              </w:rPr>
            </w:pPr>
          </w:p>
          <w:p w:rsidR="00547DC3" w:rsidRDefault="00547DC3">
            <w:pPr>
              <w:pStyle w:val="TableParagraph"/>
              <w:ind w:left="387" w:right="3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</w:tr>
      <w:tr w:rsidR="00547DC3">
        <w:trPr>
          <w:trHeight w:val="2808"/>
        </w:trPr>
        <w:tc>
          <w:tcPr>
            <w:tcW w:w="3223" w:type="dxa"/>
          </w:tcPr>
          <w:p w:rsidR="00547DC3" w:rsidRDefault="00547DC3">
            <w:pPr>
              <w:pStyle w:val="TableParagraph"/>
              <w:rPr>
                <w:sz w:val="20"/>
              </w:rPr>
            </w:pPr>
          </w:p>
          <w:p w:rsidR="00547DC3" w:rsidRDefault="00547DC3">
            <w:pPr>
              <w:pStyle w:val="TableParagraph"/>
              <w:rPr>
                <w:sz w:val="20"/>
              </w:rPr>
            </w:pPr>
          </w:p>
          <w:p w:rsidR="00547DC3" w:rsidRDefault="00547DC3">
            <w:pPr>
              <w:pStyle w:val="TableParagraph"/>
              <w:spacing w:before="6"/>
            </w:pPr>
          </w:p>
          <w:p w:rsidR="00547DC3" w:rsidRDefault="00547DC3">
            <w:pPr>
              <w:pStyle w:val="TableParagraph"/>
              <w:spacing w:line="417" w:lineRule="auto"/>
              <w:ind w:left="978" w:right="315" w:hanging="633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t xml:space="preserve">025700 </w:t>
            </w:r>
            <w:r>
              <w:rPr>
                <w:b/>
                <w:sz w:val="21"/>
                <w:lang w:eastAsia="zh-CN"/>
              </w:rPr>
              <w:t>审计硕士（</w:t>
            </w:r>
            <w:proofErr w:type="spellStart"/>
            <w:r>
              <w:rPr>
                <w:rFonts w:ascii="Times New Roman" w:eastAsia="Times New Roman"/>
                <w:b/>
                <w:sz w:val="21"/>
                <w:lang w:eastAsia="zh-CN"/>
              </w:rPr>
              <w:t>MAud</w:t>
            </w:r>
            <w:proofErr w:type="spellEnd"/>
            <w:r>
              <w:rPr>
                <w:b/>
                <w:sz w:val="21"/>
                <w:lang w:eastAsia="zh-CN"/>
              </w:rPr>
              <w:t>） 工程管理学院</w:t>
            </w:r>
          </w:p>
          <w:p w:rsidR="00547DC3" w:rsidRDefault="00547DC3">
            <w:pPr>
              <w:pStyle w:val="TableParagraph"/>
              <w:spacing w:line="269" w:lineRule="exact"/>
              <w:ind w:left="1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01(</w:t>
            </w:r>
            <w:proofErr w:type="spellStart"/>
            <w:r>
              <w:rPr>
                <w:sz w:val="21"/>
              </w:rPr>
              <w:t>全日制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  <w:proofErr w:type="spellStart"/>
            <w:r>
              <w:rPr>
                <w:sz w:val="21"/>
              </w:rPr>
              <w:t>公共工程审计</w:t>
            </w:r>
            <w:proofErr w:type="spellEnd"/>
          </w:p>
        </w:tc>
        <w:tc>
          <w:tcPr>
            <w:tcW w:w="1659" w:type="dxa"/>
          </w:tcPr>
          <w:p w:rsidR="00547DC3" w:rsidRDefault="00547DC3">
            <w:pPr>
              <w:pStyle w:val="TableParagraph"/>
            </w:pPr>
          </w:p>
          <w:p w:rsidR="00547DC3" w:rsidRDefault="00547DC3">
            <w:pPr>
              <w:pStyle w:val="TableParagraph"/>
            </w:pPr>
          </w:p>
          <w:p w:rsidR="00547DC3" w:rsidRDefault="00547DC3">
            <w:pPr>
              <w:pStyle w:val="TableParagraph"/>
            </w:pPr>
          </w:p>
          <w:p w:rsidR="00547DC3" w:rsidRDefault="00547DC3">
            <w:pPr>
              <w:pStyle w:val="TableParagraph"/>
            </w:pPr>
          </w:p>
          <w:p w:rsidR="00547DC3" w:rsidRDefault="00547DC3">
            <w:pPr>
              <w:pStyle w:val="TableParagraph"/>
              <w:spacing w:before="155"/>
              <w:ind w:left="387" w:right="3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 w:rsidR="00547DC3">
        <w:trPr>
          <w:trHeight w:val="2887"/>
        </w:trPr>
        <w:tc>
          <w:tcPr>
            <w:tcW w:w="3223" w:type="dxa"/>
          </w:tcPr>
          <w:p w:rsidR="00547DC3" w:rsidRDefault="00547DC3">
            <w:pPr>
              <w:pStyle w:val="TableParagraph"/>
              <w:rPr>
                <w:sz w:val="20"/>
                <w:lang w:eastAsia="zh-CN"/>
              </w:rPr>
            </w:pPr>
          </w:p>
          <w:p w:rsidR="00547DC3" w:rsidRDefault="00547DC3">
            <w:pPr>
              <w:pStyle w:val="TableParagraph"/>
              <w:spacing w:before="3"/>
              <w:rPr>
                <w:sz w:val="27"/>
                <w:lang w:eastAsia="zh-CN"/>
              </w:rPr>
            </w:pPr>
          </w:p>
          <w:p w:rsidR="00547DC3" w:rsidRDefault="00547DC3">
            <w:pPr>
              <w:pStyle w:val="TableParagraph"/>
              <w:spacing w:before="1" w:line="417" w:lineRule="auto"/>
              <w:ind w:left="346" w:right="315"/>
              <w:jc w:val="center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t xml:space="preserve">025700 </w:t>
            </w:r>
            <w:r>
              <w:rPr>
                <w:b/>
                <w:sz w:val="21"/>
                <w:lang w:eastAsia="zh-CN"/>
              </w:rPr>
              <w:t>审计硕士（</w:t>
            </w:r>
            <w:proofErr w:type="spellStart"/>
            <w:r>
              <w:rPr>
                <w:rFonts w:ascii="Times New Roman" w:eastAsia="Times New Roman"/>
                <w:b/>
                <w:sz w:val="21"/>
                <w:lang w:eastAsia="zh-CN"/>
              </w:rPr>
              <w:t>MAud</w:t>
            </w:r>
            <w:proofErr w:type="spellEnd"/>
            <w:r>
              <w:rPr>
                <w:b/>
                <w:sz w:val="21"/>
                <w:lang w:eastAsia="zh-CN"/>
              </w:rPr>
              <w:t>） 国际审计学院</w:t>
            </w:r>
          </w:p>
          <w:p w:rsidR="00547DC3" w:rsidRDefault="00547DC3">
            <w:pPr>
              <w:pStyle w:val="TableParagraph"/>
              <w:spacing w:line="269" w:lineRule="exact"/>
              <w:ind w:left="14" w:right="-15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01(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内部审计（</w:t>
            </w:r>
            <w:r>
              <w:rPr>
                <w:rFonts w:ascii="Times New Roman" w:eastAsia="Times New Roman"/>
                <w:sz w:val="21"/>
                <w:lang w:eastAsia="zh-CN"/>
              </w:rPr>
              <w:t>IAEP</w:t>
            </w:r>
            <w:r>
              <w:rPr>
                <w:rFonts w:ascii="Times New Roman" w:eastAsia="Times New Roman"/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项目）</w:t>
            </w:r>
          </w:p>
          <w:p w:rsidR="00547DC3" w:rsidRDefault="00547DC3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547DC3" w:rsidRDefault="00547DC3">
            <w:pPr>
              <w:pStyle w:val="TableParagraph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00(</w:t>
            </w:r>
            <w:r>
              <w:rPr>
                <w:sz w:val="21"/>
                <w:lang w:eastAsia="zh-CN"/>
              </w:rPr>
              <w:t>非全日制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不区分研究方向</w:t>
            </w:r>
          </w:p>
        </w:tc>
        <w:tc>
          <w:tcPr>
            <w:tcW w:w="1659" w:type="dxa"/>
          </w:tcPr>
          <w:p w:rsidR="00547DC3" w:rsidRDefault="00547DC3">
            <w:pPr>
              <w:pStyle w:val="TableParagraph"/>
              <w:rPr>
                <w:lang w:eastAsia="zh-CN"/>
              </w:rPr>
            </w:pPr>
          </w:p>
          <w:p w:rsidR="00547DC3" w:rsidRDefault="00547DC3">
            <w:pPr>
              <w:pStyle w:val="TableParagraph"/>
              <w:rPr>
                <w:lang w:eastAsia="zh-CN"/>
              </w:rPr>
            </w:pPr>
          </w:p>
          <w:p w:rsidR="00547DC3" w:rsidRDefault="00547DC3">
            <w:pPr>
              <w:pStyle w:val="TableParagraph"/>
              <w:rPr>
                <w:lang w:eastAsia="zh-CN"/>
              </w:rPr>
            </w:pPr>
          </w:p>
          <w:p w:rsidR="00547DC3" w:rsidRDefault="00547DC3">
            <w:pPr>
              <w:pStyle w:val="TableParagraph"/>
              <w:spacing w:before="10"/>
              <w:rPr>
                <w:sz w:val="17"/>
                <w:lang w:eastAsia="zh-CN"/>
              </w:rPr>
            </w:pPr>
          </w:p>
          <w:p w:rsidR="00547DC3" w:rsidRDefault="00547DC3">
            <w:pPr>
              <w:pStyle w:val="TableParagraph"/>
              <w:ind w:left="19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25</w:t>
            </w:r>
            <w:r>
              <w:rPr>
                <w:sz w:val="21"/>
              </w:rPr>
              <w:t>（全日制）</w:t>
            </w:r>
          </w:p>
          <w:p w:rsidR="00547DC3" w:rsidRDefault="00547DC3">
            <w:pPr>
              <w:pStyle w:val="TableParagraph"/>
              <w:spacing w:before="7"/>
              <w:rPr>
                <w:sz w:val="15"/>
              </w:rPr>
            </w:pPr>
          </w:p>
          <w:p w:rsidR="00547DC3" w:rsidRDefault="00547DC3">
            <w:pPr>
              <w:pStyle w:val="TableParagraph"/>
              <w:ind w:left="1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sz w:val="21"/>
              </w:rPr>
              <w:t>（非全日制）</w:t>
            </w:r>
          </w:p>
        </w:tc>
      </w:tr>
      <w:tr w:rsidR="00547DC3">
        <w:trPr>
          <w:trHeight w:val="3373"/>
        </w:trPr>
        <w:tc>
          <w:tcPr>
            <w:tcW w:w="3223" w:type="dxa"/>
          </w:tcPr>
          <w:p w:rsidR="00547DC3" w:rsidRDefault="00547DC3">
            <w:pPr>
              <w:pStyle w:val="TableParagraph"/>
              <w:spacing w:before="147" w:line="417" w:lineRule="auto"/>
              <w:ind w:left="1189" w:right="234" w:hanging="876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t xml:space="preserve">125300 </w:t>
            </w:r>
            <w:r>
              <w:rPr>
                <w:b/>
                <w:sz w:val="21"/>
                <w:lang w:eastAsia="zh-CN"/>
              </w:rPr>
              <w:t>会计硕士（</w:t>
            </w:r>
            <w:proofErr w:type="spellStart"/>
            <w:r>
              <w:rPr>
                <w:rFonts w:ascii="Times New Roman" w:eastAsia="Times New Roman"/>
                <w:b/>
                <w:sz w:val="21"/>
                <w:lang w:eastAsia="zh-CN"/>
              </w:rPr>
              <w:t>MPAcc</w:t>
            </w:r>
            <w:proofErr w:type="spellEnd"/>
            <w:r>
              <w:rPr>
                <w:b/>
                <w:sz w:val="21"/>
                <w:lang w:eastAsia="zh-CN"/>
              </w:rPr>
              <w:t>） 会计学院</w:t>
            </w:r>
          </w:p>
          <w:p w:rsidR="00547DC3" w:rsidRDefault="00547DC3">
            <w:pPr>
              <w:pStyle w:val="TableParagraph"/>
              <w:spacing w:line="269" w:lineRule="exact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01(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财务会计</w:t>
            </w:r>
          </w:p>
          <w:p w:rsidR="00547DC3" w:rsidRDefault="00547DC3">
            <w:pPr>
              <w:pStyle w:val="TableParagraph"/>
              <w:spacing w:before="7"/>
              <w:rPr>
                <w:sz w:val="15"/>
                <w:lang w:eastAsia="zh-CN"/>
              </w:rPr>
            </w:pPr>
          </w:p>
          <w:p w:rsidR="00547DC3" w:rsidRDefault="00547DC3">
            <w:pPr>
              <w:pStyle w:val="TableParagraph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02(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管理会计</w:t>
            </w:r>
          </w:p>
          <w:p w:rsidR="00547DC3" w:rsidRDefault="00547DC3">
            <w:pPr>
              <w:pStyle w:val="TableParagraph"/>
              <w:spacing w:before="7"/>
              <w:rPr>
                <w:sz w:val="15"/>
                <w:lang w:eastAsia="zh-CN"/>
              </w:rPr>
            </w:pPr>
          </w:p>
          <w:p w:rsidR="00547DC3" w:rsidRDefault="00547DC3">
            <w:pPr>
              <w:pStyle w:val="TableParagraph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03(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财务管理</w:t>
            </w:r>
          </w:p>
          <w:p w:rsidR="00547DC3" w:rsidRDefault="00547DC3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547DC3" w:rsidRDefault="00547DC3">
            <w:pPr>
              <w:pStyle w:val="TableParagraph"/>
              <w:spacing w:before="1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04(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注册会计师审计</w:t>
            </w:r>
          </w:p>
          <w:p w:rsidR="00547DC3" w:rsidRDefault="00547DC3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547DC3" w:rsidRDefault="00547DC3">
            <w:pPr>
              <w:pStyle w:val="TableParagraph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00(</w:t>
            </w:r>
            <w:r>
              <w:rPr>
                <w:sz w:val="21"/>
                <w:lang w:eastAsia="zh-CN"/>
              </w:rPr>
              <w:t>非全日制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不区分研究方向</w:t>
            </w:r>
          </w:p>
        </w:tc>
        <w:tc>
          <w:tcPr>
            <w:tcW w:w="1659" w:type="dxa"/>
          </w:tcPr>
          <w:p w:rsidR="00547DC3" w:rsidRDefault="00547DC3">
            <w:pPr>
              <w:pStyle w:val="TableParagraph"/>
              <w:rPr>
                <w:lang w:eastAsia="zh-CN"/>
              </w:rPr>
            </w:pPr>
          </w:p>
          <w:p w:rsidR="00547DC3" w:rsidRDefault="00547DC3">
            <w:pPr>
              <w:pStyle w:val="TableParagraph"/>
              <w:rPr>
                <w:lang w:eastAsia="zh-CN"/>
              </w:rPr>
            </w:pPr>
          </w:p>
          <w:p w:rsidR="00547DC3" w:rsidRDefault="00547DC3">
            <w:pPr>
              <w:pStyle w:val="TableParagraph"/>
              <w:rPr>
                <w:lang w:eastAsia="zh-CN"/>
              </w:rPr>
            </w:pPr>
          </w:p>
          <w:p w:rsidR="00547DC3" w:rsidRDefault="00547DC3">
            <w:pPr>
              <w:pStyle w:val="TableParagraph"/>
              <w:rPr>
                <w:lang w:eastAsia="zh-CN"/>
              </w:rPr>
            </w:pPr>
          </w:p>
          <w:p w:rsidR="00547DC3" w:rsidRDefault="00547DC3">
            <w:pPr>
              <w:pStyle w:val="TableParagraph"/>
              <w:spacing w:before="190"/>
              <w:ind w:left="19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50</w:t>
            </w:r>
            <w:r>
              <w:rPr>
                <w:sz w:val="21"/>
              </w:rPr>
              <w:t>（全日制）</w:t>
            </w:r>
          </w:p>
          <w:p w:rsidR="00547DC3" w:rsidRDefault="00547DC3">
            <w:pPr>
              <w:pStyle w:val="TableParagraph"/>
              <w:spacing w:before="6"/>
              <w:rPr>
                <w:sz w:val="15"/>
              </w:rPr>
            </w:pPr>
          </w:p>
          <w:p w:rsidR="00547DC3" w:rsidRDefault="00547DC3">
            <w:pPr>
              <w:pStyle w:val="TableParagraph"/>
              <w:spacing w:before="1"/>
              <w:ind w:left="1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12</w:t>
            </w:r>
            <w:r>
              <w:rPr>
                <w:sz w:val="21"/>
              </w:rPr>
              <w:t>（非全日制）</w:t>
            </w:r>
          </w:p>
        </w:tc>
      </w:tr>
    </w:tbl>
    <w:p w:rsidR="00BC1005" w:rsidRDefault="00BC1005">
      <w:pPr>
        <w:rPr>
          <w:sz w:val="21"/>
        </w:rPr>
        <w:sectPr w:rsidR="00BC1005">
          <w:type w:val="continuous"/>
          <w:pgSz w:w="11910" w:h="16840"/>
          <w:pgMar w:top="14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1659"/>
      </w:tblGrid>
      <w:tr w:rsidR="00547DC3">
        <w:trPr>
          <w:trHeight w:val="2656"/>
        </w:trPr>
        <w:tc>
          <w:tcPr>
            <w:tcW w:w="3223" w:type="dxa"/>
          </w:tcPr>
          <w:p w:rsidR="00547DC3" w:rsidRDefault="00547DC3">
            <w:pPr>
              <w:pStyle w:val="TableParagraph"/>
              <w:rPr>
                <w:sz w:val="20"/>
              </w:rPr>
            </w:pPr>
          </w:p>
          <w:p w:rsidR="00547DC3" w:rsidRDefault="00547DC3">
            <w:pPr>
              <w:pStyle w:val="TableParagraph"/>
              <w:spacing w:line="417" w:lineRule="auto"/>
              <w:ind w:left="1189" w:right="442" w:hanging="716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t xml:space="preserve">025100 </w:t>
            </w:r>
            <w:r>
              <w:rPr>
                <w:b/>
                <w:sz w:val="21"/>
                <w:lang w:eastAsia="zh-CN"/>
              </w:rPr>
              <w:t>金融硕士（</w:t>
            </w:r>
            <w:r>
              <w:rPr>
                <w:rFonts w:ascii="Times New Roman" w:eastAsia="Times New Roman"/>
                <w:b/>
                <w:sz w:val="21"/>
                <w:lang w:eastAsia="zh-CN"/>
              </w:rPr>
              <w:t>MF</w:t>
            </w:r>
            <w:r>
              <w:rPr>
                <w:b/>
                <w:sz w:val="21"/>
                <w:lang w:eastAsia="zh-CN"/>
              </w:rPr>
              <w:t>） 金融学院</w:t>
            </w:r>
          </w:p>
          <w:p w:rsidR="00547DC3" w:rsidRDefault="00547DC3">
            <w:pPr>
              <w:pStyle w:val="TableParagraph"/>
              <w:spacing w:line="269" w:lineRule="exact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01(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商业银行经营与管理</w:t>
            </w:r>
          </w:p>
          <w:p w:rsidR="00547DC3" w:rsidRDefault="00547DC3">
            <w:pPr>
              <w:pStyle w:val="TableParagraph"/>
              <w:spacing w:before="7"/>
              <w:rPr>
                <w:sz w:val="15"/>
                <w:lang w:eastAsia="zh-CN"/>
              </w:rPr>
            </w:pPr>
          </w:p>
          <w:p w:rsidR="00547DC3" w:rsidRDefault="00547DC3">
            <w:pPr>
              <w:pStyle w:val="TableParagraph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02(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公司金融</w:t>
            </w:r>
          </w:p>
          <w:p w:rsidR="00547DC3" w:rsidRDefault="00547DC3">
            <w:pPr>
              <w:pStyle w:val="TableParagraph"/>
              <w:spacing w:before="7"/>
              <w:rPr>
                <w:sz w:val="15"/>
                <w:lang w:eastAsia="zh-CN"/>
              </w:rPr>
            </w:pPr>
          </w:p>
          <w:p w:rsidR="00547DC3" w:rsidRDefault="00547DC3">
            <w:pPr>
              <w:pStyle w:val="TableParagraph"/>
              <w:ind w:left="14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03(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金融风险管理</w:t>
            </w:r>
          </w:p>
        </w:tc>
        <w:tc>
          <w:tcPr>
            <w:tcW w:w="1659" w:type="dxa"/>
          </w:tcPr>
          <w:p w:rsidR="00547DC3" w:rsidRDefault="00547DC3">
            <w:pPr>
              <w:pStyle w:val="TableParagraph"/>
              <w:rPr>
                <w:lang w:eastAsia="zh-CN"/>
              </w:rPr>
            </w:pPr>
            <w:bookmarkStart w:id="0" w:name="_GoBack"/>
            <w:bookmarkEnd w:id="0"/>
          </w:p>
          <w:p w:rsidR="00547DC3" w:rsidRDefault="00547DC3">
            <w:pPr>
              <w:pStyle w:val="TableParagraph"/>
              <w:rPr>
                <w:lang w:eastAsia="zh-CN"/>
              </w:rPr>
            </w:pPr>
          </w:p>
          <w:p w:rsidR="00547DC3" w:rsidRDefault="00547DC3">
            <w:pPr>
              <w:pStyle w:val="TableParagraph"/>
              <w:rPr>
                <w:lang w:eastAsia="zh-CN"/>
              </w:rPr>
            </w:pPr>
          </w:p>
          <w:p w:rsidR="00547DC3" w:rsidRDefault="00547DC3">
            <w:pPr>
              <w:pStyle w:val="TableParagraph"/>
              <w:spacing w:before="2"/>
              <w:rPr>
                <w:sz w:val="28"/>
                <w:lang w:eastAsia="zh-CN"/>
              </w:rPr>
            </w:pPr>
          </w:p>
          <w:p w:rsidR="00547DC3" w:rsidRDefault="00547DC3">
            <w:pPr>
              <w:pStyle w:val="TableParagraph"/>
              <w:ind w:left="387" w:right="3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</w:tr>
    </w:tbl>
    <w:p w:rsidR="00BC1005" w:rsidRDefault="00BC1005">
      <w:pPr>
        <w:pStyle w:val="a3"/>
        <w:ind w:left="0"/>
        <w:rPr>
          <w:rFonts w:ascii="宋体"/>
          <w:sz w:val="20"/>
        </w:rPr>
      </w:pPr>
    </w:p>
    <w:p w:rsidR="00BC1005" w:rsidRDefault="00BC1005">
      <w:pPr>
        <w:pStyle w:val="a3"/>
        <w:ind w:left="0"/>
        <w:rPr>
          <w:rFonts w:ascii="宋体"/>
          <w:sz w:val="20"/>
        </w:rPr>
      </w:pPr>
    </w:p>
    <w:p w:rsidR="00BC1005" w:rsidRDefault="00BC1005">
      <w:pPr>
        <w:pStyle w:val="a3"/>
        <w:ind w:left="0"/>
        <w:rPr>
          <w:rFonts w:ascii="宋体"/>
          <w:sz w:val="20"/>
        </w:rPr>
      </w:pPr>
    </w:p>
    <w:p w:rsidR="00BC1005" w:rsidRDefault="00BC1005">
      <w:pPr>
        <w:pStyle w:val="a3"/>
        <w:ind w:left="0"/>
        <w:rPr>
          <w:rFonts w:ascii="宋体"/>
          <w:sz w:val="20"/>
        </w:rPr>
      </w:pPr>
    </w:p>
    <w:p w:rsidR="00BC1005" w:rsidRDefault="00BC1005">
      <w:pPr>
        <w:pStyle w:val="a3"/>
        <w:spacing w:before="3"/>
        <w:ind w:left="0"/>
        <w:rPr>
          <w:rFonts w:ascii="宋体"/>
          <w:sz w:val="18"/>
        </w:rPr>
      </w:pPr>
    </w:p>
    <w:sectPr w:rsidR="00BC1005" w:rsidSect="00547DC3">
      <w:pgSz w:w="11910" w:h="16840"/>
      <w:pgMar w:top="144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EC3"/>
    <w:multiLevelType w:val="hybridMultilevel"/>
    <w:tmpl w:val="ED00B208"/>
    <w:lvl w:ilvl="0" w:tplc="6AF48A6A">
      <w:start w:val="4"/>
      <w:numFmt w:val="decimalZero"/>
      <w:lvlText w:val="%1"/>
      <w:lvlJc w:val="left"/>
      <w:pPr>
        <w:ind w:left="278" w:hanging="26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</w:rPr>
    </w:lvl>
    <w:lvl w:ilvl="1" w:tplc="691EFE6E">
      <w:numFmt w:val="bullet"/>
      <w:lvlText w:val="•"/>
      <w:lvlJc w:val="left"/>
      <w:pPr>
        <w:ind w:left="571" w:hanging="265"/>
      </w:pPr>
      <w:rPr>
        <w:rFonts w:hint="default"/>
      </w:rPr>
    </w:lvl>
    <w:lvl w:ilvl="2" w:tplc="79F4F540">
      <w:numFmt w:val="bullet"/>
      <w:lvlText w:val="•"/>
      <w:lvlJc w:val="left"/>
      <w:pPr>
        <w:ind w:left="862" w:hanging="265"/>
      </w:pPr>
      <w:rPr>
        <w:rFonts w:hint="default"/>
      </w:rPr>
    </w:lvl>
    <w:lvl w:ilvl="3" w:tplc="3B62A9BE">
      <w:numFmt w:val="bullet"/>
      <w:lvlText w:val="•"/>
      <w:lvlJc w:val="left"/>
      <w:pPr>
        <w:ind w:left="1153" w:hanging="265"/>
      </w:pPr>
      <w:rPr>
        <w:rFonts w:hint="default"/>
      </w:rPr>
    </w:lvl>
    <w:lvl w:ilvl="4" w:tplc="7A84B7A6">
      <w:numFmt w:val="bullet"/>
      <w:lvlText w:val="•"/>
      <w:lvlJc w:val="left"/>
      <w:pPr>
        <w:ind w:left="1445" w:hanging="265"/>
      </w:pPr>
      <w:rPr>
        <w:rFonts w:hint="default"/>
      </w:rPr>
    </w:lvl>
    <w:lvl w:ilvl="5" w:tplc="0576E07A">
      <w:numFmt w:val="bullet"/>
      <w:lvlText w:val="•"/>
      <w:lvlJc w:val="left"/>
      <w:pPr>
        <w:ind w:left="1736" w:hanging="265"/>
      </w:pPr>
      <w:rPr>
        <w:rFonts w:hint="default"/>
      </w:rPr>
    </w:lvl>
    <w:lvl w:ilvl="6" w:tplc="6DF60BDA">
      <w:numFmt w:val="bullet"/>
      <w:lvlText w:val="•"/>
      <w:lvlJc w:val="left"/>
      <w:pPr>
        <w:ind w:left="2027" w:hanging="265"/>
      </w:pPr>
      <w:rPr>
        <w:rFonts w:hint="default"/>
      </w:rPr>
    </w:lvl>
    <w:lvl w:ilvl="7" w:tplc="0462766A">
      <w:numFmt w:val="bullet"/>
      <w:lvlText w:val="•"/>
      <w:lvlJc w:val="left"/>
      <w:pPr>
        <w:ind w:left="2319" w:hanging="265"/>
      </w:pPr>
      <w:rPr>
        <w:rFonts w:hint="default"/>
      </w:rPr>
    </w:lvl>
    <w:lvl w:ilvl="8" w:tplc="1AA22A00">
      <w:numFmt w:val="bullet"/>
      <w:lvlText w:val="•"/>
      <w:lvlJc w:val="left"/>
      <w:pPr>
        <w:ind w:left="2610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C1005"/>
    <w:rsid w:val="00547DC3"/>
    <w:rsid w:val="00B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ind w:left="3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djf</cp:lastModifiedBy>
  <cp:revision>2</cp:revision>
  <dcterms:created xsi:type="dcterms:W3CDTF">2018-09-20T09:42:00Z</dcterms:created>
  <dcterms:modified xsi:type="dcterms:W3CDTF">2018-09-20T09:42:00Z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2018-09-20T00:00:00Z</vt:filetime>
  </property>
</Properties>
</file>