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48" w:lineRule="auto"/>
        <w:jc w:val="center"/>
        <w:rPr>
          <w:rFonts w:ascii="仿宋_GB2312" w:eastAsia="仿宋_GB2312"/>
          <w:b/>
          <w:bCs/>
          <w:sz w:val="36"/>
          <w:szCs w:val="36"/>
        </w:rPr>
      </w:pPr>
      <w:r>
        <w:rPr>
          <w:rFonts w:hint="eastAsia" w:ascii="宋体" w:hAnsi="宋体"/>
          <w:b/>
          <w:bCs/>
          <w:sz w:val="36"/>
          <w:szCs w:val="36"/>
        </w:rPr>
        <w:t>南京审计大学新媒体运营管理办法</w:t>
      </w:r>
    </w:p>
    <w:p>
      <w:pPr>
        <w:snapToGrid w:val="0"/>
        <w:spacing w:line="348" w:lineRule="auto"/>
        <w:jc w:val="center"/>
        <w:rPr>
          <w:rFonts w:ascii="宋体"/>
          <w:b/>
          <w:bCs/>
          <w:sz w:val="36"/>
          <w:szCs w:val="36"/>
        </w:rPr>
      </w:pPr>
      <w:r>
        <w:rPr>
          <w:rFonts w:ascii="宋体" w:hAnsi="宋体"/>
          <w:b/>
          <w:bCs/>
          <w:sz w:val="36"/>
          <w:szCs w:val="36"/>
        </w:rPr>
        <w:t xml:space="preserve"> </w:t>
      </w:r>
      <w:r>
        <w:rPr>
          <w:rFonts w:hint="eastAsia" w:ascii="仿宋" w:hAnsi="仿宋" w:eastAsia="仿宋" w:cs="仿宋"/>
          <w:b w:val="0"/>
          <w:bCs w:val="0"/>
          <w:sz w:val="30"/>
          <w:szCs w:val="30"/>
          <w:lang w:eastAsia="zh-CN"/>
        </w:rPr>
        <w:t>（修订）</w:t>
      </w:r>
      <w:r>
        <w:rPr>
          <w:rFonts w:ascii="宋体" w:hAnsi="宋体"/>
          <w:b/>
          <w:bCs/>
          <w:sz w:val="36"/>
          <w:szCs w:val="36"/>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为加强学校意识形态阵地和校园网络安全管理，进一步加强和规范各级各类组织新媒体建设与管理，推进校园新媒体健康有序发展，打造集群化、系统化、网络化的新媒体工作格局，营造良好的校园网络舆论环境，根据中共中央办公厅、国务院办公厅《关于进一步加强和改进新形势下高校宣传思想工作的意见》文件精神和《互联网信息服务管理办法》等法律法规，特制定本办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宋体" w:cs="宋体"/>
          <w:b/>
          <w:sz w:val="32"/>
          <w:szCs w:val="32"/>
        </w:rPr>
      </w:pPr>
      <w:r>
        <w:rPr>
          <w:rFonts w:hint="eastAsia" w:ascii="宋体" w:hAnsi="宋体" w:cs="宋体"/>
          <w:b/>
          <w:sz w:val="32"/>
          <w:szCs w:val="32"/>
        </w:rPr>
        <w:t>第一章</w:t>
      </w:r>
      <w:r>
        <w:rPr>
          <w:rFonts w:ascii="宋体" w:hAnsi="宋体" w:cs="宋体"/>
          <w:b/>
          <w:sz w:val="32"/>
          <w:szCs w:val="32"/>
        </w:rPr>
        <w:t xml:space="preserve">  </w:t>
      </w:r>
      <w:r>
        <w:rPr>
          <w:rFonts w:hint="eastAsia" w:ascii="宋体" w:hAnsi="宋体" w:cs="宋体"/>
          <w:b/>
          <w:sz w:val="32"/>
          <w:szCs w:val="32"/>
        </w:rPr>
        <w:t>总则</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w:t>
      </w:r>
      <w:r>
        <w:rPr>
          <w:rFonts w:hint="eastAsia" w:ascii="仿宋_GB2312" w:eastAsia="仿宋_GB2312"/>
          <w:sz w:val="32"/>
          <w:szCs w:val="32"/>
        </w:rPr>
        <w:t>校内各部门要按照党管媒体的原则，增强对互联网发展的适应性，主动把握网络舆论导向的主动权，加强意识形态新阵地建设与管理。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第二条</w:t>
      </w:r>
      <w:r>
        <w:rPr>
          <w:rFonts w:ascii="仿宋_GB2312" w:eastAsia="仿宋_GB2312"/>
          <w:sz w:val="32"/>
          <w:szCs w:val="32"/>
        </w:rPr>
        <w:t xml:space="preserve"> </w:t>
      </w:r>
      <w:r>
        <w:rPr>
          <w:rFonts w:hint="eastAsia" w:ascii="仿宋_GB2312" w:eastAsia="仿宋_GB2312"/>
          <w:sz w:val="32"/>
          <w:szCs w:val="32"/>
        </w:rPr>
        <w:t>本办法中的新媒体平台是指通过互联网和移动互联终端进行传播的媒介形式，包括但不限于微博、微信、</w:t>
      </w:r>
      <w:r>
        <w:rPr>
          <w:rFonts w:ascii="仿宋_GB2312" w:eastAsia="仿宋_GB2312"/>
          <w:sz w:val="32"/>
          <w:szCs w:val="32"/>
        </w:rPr>
        <w:t>QQ</w:t>
      </w:r>
      <w:r>
        <w:rPr>
          <w:rFonts w:hint="eastAsia" w:ascii="仿宋_GB2312" w:eastAsia="仿宋_GB2312"/>
          <w:sz w:val="32"/>
          <w:szCs w:val="32"/>
        </w:rPr>
        <w:t>空间、贴吧、网络视频、移动电视等。</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第三条</w:t>
      </w:r>
      <w:r>
        <w:rPr>
          <w:rFonts w:ascii="仿宋_GB2312" w:eastAsia="仿宋_GB2312"/>
          <w:sz w:val="32"/>
          <w:szCs w:val="32"/>
        </w:rPr>
        <w:t xml:space="preserve"> </w:t>
      </w:r>
      <w:r>
        <w:rPr>
          <w:rFonts w:hint="eastAsia" w:ascii="仿宋_GB2312" w:eastAsia="仿宋_GB2312"/>
          <w:sz w:val="32"/>
          <w:szCs w:val="32"/>
        </w:rPr>
        <w:t>各级各类新媒体平台</w:t>
      </w:r>
      <w:r>
        <w:rPr>
          <w:rFonts w:hint="eastAsia" w:ascii="仿宋_GB2312" w:eastAsia="仿宋_GB2312"/>
          <w:sz w:val="32"/>
          <w:szCs w:val="32"/>
          <w:lang w:eastAsia="zh-CN"/>
        </w:rPr>
        <w:t>实行分级管理。学校官方网站、微信、微博等一级平台，由党委宣传部管理。各部门官方网站、微博、微信等新媒体平台为二级平台，由各部门负责管理，建设部门主要负责人为第一责任人。各级团组织、学生会及其下属部门、社团、学生个人、自组织创建的新媒体平台为三级平台。各级团组织、学生会及其下属部门主办的新媒体，由校团委依照本办法统一管理。社团主办的，学生个人、自组织开发的新媒体平台，由学生所在书院依照本办法管理。</w:t>
      </w:r>
    </w:p>
    <w:p>
      <w:pPr>
        <w:keepNext w:val="0"/>
        <w:keepLines w:val="0"/>
        <w:pageBreakBefore w:val="0"/>
        <w:widowControl w:val="0"/>
        <w:kinsoku/>
        <w:wordWrap/>
        <w:overflowPunct/>
        <w:topLinePunct w:val="0"/>
        <w:autoSpaceDE/>
        <w:autoSpaceDN/>
        <w:bidi w:val="0"/>
        <w:adjustRightInd/>
        <w:snapToGrid w:val="0"/>
        <w:spacing w:before="312" w:beforeLines="100" w:line="600" w:lineRule="exact"/>
        <w:jc w:val="center"/>
        <w:textAlignment w:val="auto"/>
        <w:outlineLvl w:val="9"/>
        <w:rPr>
          <w:rFonts w:ascii="宋体" w:cs="宋体"/>
          <w:b/>
          <w:sz w:val="32"/>
          <w:szCs w:val="32"/>
        </w:rPr>
      </w:pPr>
      <w:r>
        <w:rPr>
          <w:rFonts w:hint="eastAsia" w:ascii="宋体" w:hAnsi="宋体" w:cs="宋体"/>
          <w:b/>
          <w:sz w:val="32"/>
          <w:szCs w:val="32"/>
        </w:rPr>
        <w:t>第二章</w:t>
      </w:r>
      <w:r>
        <w:rPr>
          <w:rFonts w:ascii="宋体" w:hAnsi="宋体" w:cs="宋体"/>
          <w:b/>
          <w:sz w:val="32"/>
          <w:szCs w:val="32"/>
        </w:rPr>
        <w:t xml:space="preserve">  </w:t>
      </w:r>
      <w:r>
        <w:rPr>
          <w:rFonts w:hint="eastAsia" w:ascii="宋体" w:hAnsi="宋体" w:cs="宋体"/>
          <w:b/>
          <w:sz w:val="32"/>
          <w:szCs w:val="32"/>
          <w:lang w:eastAsia="zh-CN"/>
        </w:rPr>
        <w:t>审批与</w:t>
      </w:r>
      <w:r>
        <w:rPr>
          <w:rFonts w:hint="eastAsia" w:ascii="宋体" w:hAnsi="宋体" w:cs="宋体"/>
          <w:b/>
          <w:sz w:val="32"/>
          <w:szCs w:val="32"/>
        </w:rPr>
        <w:t>备案程序</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因工作需要在提供相关服务的互联网平台上开设新媒体账户和发布内容的部门，无论是否得到平台认证，均须</w:t>
      </w:r>
      <w:r>
        <w:rPr>
          <w:rFonts w:hint="eastAsia" w:ascii="仿宋_GB2312" w:eastAsia="仿宋_GB2312"/>
          <w:sz w:val="32"/>
          <w:szCs w:val="32"/>
          <w:lang w:eastAsia="zh-CN"/>
        </w:rPr>
        <w:t>报党委宣传部批准，批准创建后及时</w:t>
      </w:r>
      <w:r>
        <w:rPr>
          <w:rFonts w:hint="eastAsia" w:ascii="仿宋_GB2312" w:eastAsia="仿宋_GB2312"/>
          <w:sz w:val="32"/>
          <w:szCs w:val="32"/>
        </w:rPr>
        <w:t>向党委宣传部申报备案。党委宣传部负责建立完整规范的档案。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 w:hAnsi="仿宋" w:eastAsia="仿宋" w:cs="仿宋"/>
          <w:sz w:val="32"/>
          <w:szCs w:val="32"/>
        </w:rPr>
      </w:pPr>
      <w:r>
        <w:rPr>
          <w:rFonts w:hint="eastAsia" w:ascii="仿宋_GB2312" w:eastAsia="仿宋_GB2312"/>
          <w:b/>
          <w:sz w:val="32"/>
          <w:szCs w:val="32"/>
        </w:rPr>
        <w:t>第五条</w:t>
      </w:r>
      <w:r>
        <w:rPr>
          <w:rFonts w:ascii="仿宋_GB2312" w:eastAsia="仿宋_GB2312"/>
          <w:sz w:val="32"/>
          <w:szCs w:val="32"/>
        </w:rPr>
        <w:t xml:space="preserve"> </w:t>
      </w:r>
      <w:r>
        <w:rPr>
          <w:rFonts w:hint="eastAsia" w:ascii="仿宋_GB2312" w:eastAsia="仿宋_GB2312"/>
          <w:sz w:val="32"/>
          <w:szCs w:val="32"/>
          <w:lang w:eastAsia="zh-CN"/>
        </w:rPr>
        <w:t>未经许可，个人或自组织不得开通名称中包含</w:t>
      </w:r>
      <w:r>
        <w:rPr>
          <w:rFonts w:hint="eastAsia" w:ascii="仿宋_GB2312" w:eastAsia="仿宋_GB2312"/>
          <w:sz w:val="32"/>
          <w:szCs w:val="32"/>
        </w:rPr>
        <w:t>“南京审计大学”“南审大”“南审”“审大”“</w:t>
      </w:r>
      <w:r>
        <w:rPr>
          <w:rFonts w:ascii="仿宋_GB2312" w:eastAsia="仿宋_GB2312"/>
          <w:sz w:val="32"/>
          <w:szCs w:val="32"/>
        </w:rPr>
        <w:t>nau</w:t>
      </w:r>
      <w:r>
        <w:rPr>
          <w:rFonts w:hint="eastAsia" w:ascii="仿宋_GB2312" w:eastAsia="仿宋_GB2312"/>
          <w:sz w:val="32"/>
          <w:szCs w:val="32"/>
        </w:rPr>
        <w:t>”等学校中英文字样的新媒体平台</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第六条</w:t>
      </w:r>
      <w:r>
        <w:rPr>
          <w:rFonts w:ascii="仿宋_GB2312" w:eastAsia="仿宋_GB2312"/>
          <w:sz w:val="32"/>
          <w:szCs w:val="32"/>
        </w:rPr>
        <w:t xml:space="preserve"> </w:t>
      </w:r>
      <w:r>
        <w:rPr>
          <w:rFonts w:hint="eastAsia" w:ascii="仿宋_GB2312" w:eastAsia="仿宋_GB2312"/>
          <w:sz w:val="32"/>
          <w:szCs w:val="32"/>
        </w:rPr>
        <w:t>备案时，部门或个人须填写提交《南京审计大学新媒体平台备案表》。备案表主要涵盖内容为：建立单位、发布平台、账号名称、创建时间、发布内容、后台管理队伍信息、审发制度等。单位主要负责人需签字并加盖单位公章。个人或自组织先向书院提出申请，并经学校党委宣传部同意。</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第七条</w:t>
      </w:r>
      <w:r>
        <w:rPr>
          <w:rFonts w:ascii="仿宋_GB2312" w:eastAsia="仿宋_GB2312"/>
          <w:b/>
          <w:sz w:val="32"/>
          <w:szCs w:val="32"/>
        </w:rPr>
        <w:t xml:space="preserve"> </w:t>
      </w:r>
      <w:r>
        <w:rPr>
          <w:rFonts w:hint="eastAsia" w:ascii="仿宋_GB2312" w:eastAsia="仿宋_GB2312"/>
          <w:sz w:val="32"/>
          <w:szCs w:val="32"/>
        </w:rPr>
        <w:t>账号名、后台管理人员或维护方式发生变更，应在三个工作日内，以书面形式报党委宣传部备案。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_GB2312" w:eastAsia="仿宋"/>
          <w:sz w:val="32"/>
          <w:szCs w:val="32"/>
          <w:lang w:eastAsia="zh-CN"/>
        </w:rPr>
      </w:pPr>
      <w:r>
        <w:rPr>
          <w:rFonts w:hint="eastAsia" w:ascii="仿宋_GB2312" w:eastAsia="仿宋_GB2312"/>
          <w:b/>
          <w:sz w:val="32"/>
          <w:szCs w:val="32"/>
        </w:rPr>
        <w:t>第八条</w:t>
      </w:r>
      <w:r>
        <w:rPr>
          <w:rFonts w:ascii="仿宋_GB2312" w:eastAsia="仿宋_GB2312"/>
          <w:sz w:val="32"/>
          <w:szCs w:val="32"/>
        </w:rPr>
        <w:t xml:space="preserve"> </w:t>
      </w:r>
      <w:r>
        <w:rPr>
          <w:rFonts w:hint="eastAsia" w:ascii="仿宋_GB2312" w:eastAsia="仿宋_GB2312"/>
          <w:sz w:val="32"/>
          <w:szCs w:val="32"/>
        </w:rPr>
        <w:t>学生个人、自组织开发的新媒体平台，</w:t>
      </w:r>
      <w:r>
        <w:rPr>
          <w:rFonts w:hint="eastAsia" w:ascii="仿宋" w:hAnsi="仿宋" w:eastAsia="仿宋" w:cs="仿宋"/>
          <w:sz w:val="32"/>
          <w:szCs w:val="32"/>
        </w:rPr>
        <w:t>如由</w:t>
      </w:r>
      <w:r>
        <w:rPr>
          <w:rFonts w:hint="eastAsia" w:ascii="仿宋_GB2312" w:eastAsia="仿宋_GB2312"/>
          <w:sz w:val="32"/>
          <w:szCs w:val="32"/>
        </w:rPr>
        <w:t>在校生管理，负责人毕业前要及时更换并向所在书院备案，书院要及时督促负责人变更事宜</w:t>
      </w:r>
      <w:r>
        <w:rPr>
          <w:rFonts w:hint="eastAsia" w:ascii="微软雅黑" w:hAnsi="微软雅黑" w:eastAsia="微软雅黑" w:cs="微软雅黑"/>
          <w:sz w:val="32"/>
          <w:szCs w:val="32"/>
        </w:rPr>
        <w:t>，</w:t>
      </w:r>
      <w:r>
        <w:rPr>
          <w:rFonts w:hint="eastAsia" w:ascii="仿宋" w:hAnsi="仿宋" w:eastAsia="仿宋" w:cs="仿宋"/>
          <w:sz w:val="32"/>
          <w:szCs w:val="32"/>
        </w:rPr>
        <w:t>并做好后续登记备案和管理工作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157" w:beforeLines="50" w:line="600" w:lineRule="exact"/>
        <w:jc w:val="center"/>
        <w:textAlignment w:val="auto"/>
        <w:outlineLvl w:val="9"/>
        <w:rPr>
          <w:rFonts w:ascii="宋体" w:cs="宋体"/>
          <w:b/>
          <w:sz w:val="32"/>
          <w:szCs w:val="32"/>
        </w:rPr>
      </w:pPr>
      <w:r>
        <w:rPr>
          <w:rFonts w:hint="eastAsia" w:ascii="宋体" w:hAnsi="宋体" w:cs="宋体"/>
          <w:b/>
          <w:sz w:val="32"/>
          <w:szCs w:val="32"/>
        </w:rPr>
        <w:t>第三章</w:t>
      </w:r>
      <w:r>
        <w:rPr>
          <w:rFonts w:ascii="宋体" w:hAnsi="宋体" w:cs="宋体"/>
          <w:b/>
          <w:sz w:val="32"/>
          <w:szCs w:val="32"/>
        </w:rPr>
        <w:t xml:space="preserve">  </w:t>
      </w:r>
      <w:r>
        <w:rPr>
          <w:rFonts w:hint="eastAsia" w:ascii="宋体" w:hAnsi="宋体" w:cs="宋体"/>
          <w:b/>
          <w:sz w:val="32"/>
          <w:szCs w:val="32"/>
        </w:rPr>
        <w:t>内容建设和管理</w:t>
      </w:r>
    </w:p>
    <w:p>
      <w:pPr>
        <w:keepNext w:val="0"/>
        <w:keepLines w:val="0"/>
        <w:pageBreakBefore w:val="0"/>
        <w:widowControl w:val="0"/>
        <w:kinsoku/>
        <w:wordWrap/>
        <w:overflowPunct/>
        <w:topLinePunct w:val="0"/>
        <w:autoSpaceDE/>
        <w:autoSpaceDN/>
        <w:bidi w:val="0"/>
        <w:adjustRightInd/>
        <w:snapToGrid w:val="0"/>
        <w:spacing w:before="156" w:beforeLines="50"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各级官方新媒体主要发布所服务层面的工作动态、重要公告以及与学校、师生相关的其他信息，服务师生学习、工作、生活和发展，宣传学校、本部门或本团体发展成就，展示学校良好形象。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第十条</w:t>
      </w:r>
      <w:r>
        <w:rPr>
          <w:rFonts w:ascii="仿宋_GB2312" w:eastAsia="仿宋_GB2312"/>
          <w:b/>
          <w:sz w:val="32"/>
          <w:szCs w:val="32"/>
        </w:rPr>
        <w:t xml:space="preserve"> </w:t>
      </w:r>
      <w:r>
        <w:rPr>
          <w:rFonts w:hint="eastAsia" w:ascii="仿宋_GB2312" w:eastAsia="仿宋_GB2312"/>
          <w:sz w:val="32"/>
          <w:szCs w:val="32"/>
        </w:rPr>
        <w:t>学校鼓励广大师生通过新媒体宣传学校发展新动态、新成果，传递校园正能量。校内运营的新媒体账号，必须遵守国家有关管理规定，原则上不允许从事可能有损学校声誉的商业活动，平台登记的负责人对所发信息负全部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各新媒体平台应有明确定位和发展方向，注重个性发展，避免同质化重复建设。</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第十二条</w:t>
      </w:r>
      <w:r>
        <w:rPr>
          <w:rFonts w:ascii="仿宋_GB2312" w:eastAsia="仿宋_GB2312"/>
          <w:sz w:val="32"/>
          <w:szCs w:val="32"/>
        </w:rPr>
        <w:t xml:space="preserve"> </w:t>
      </w:r>
      <w:r>
        <w:rPr>
          <w:rFonts w:hint="eastAsia" w:ascii="仿宋_GB2312" w:eastAsia="仿宋_GB2312"/>
          <w:sz w:val="32"/>
          <w:szCs w:val="32"/>
        </w:rPr>
        <w:t>各新媒体平台后台管理人员需参加党委宣传部统一组织的业务培训。</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eastAsia="zh-CN"/>
        </w:rPr>
        <w:t>第十三条</w:t>
      </w:r>
      <w:r>
        <w:rPr>
          <w:rFonts w:hint="eastAsia" w:ascii="仿宋_GB2312" w:eastAsia="仿宋_GB2312"/>
          <w:b/>
          <w:bCs/>
          <w:sz w:val="32"/>
          <w:szCs w:val="32"/>
          <w:lang w:val="en-US" w:eastAsia="zh-CN"/>
        </w:rPr>
        <w:t xml:space="preserve"> </w:t>
      </w:r>
      <w:r>
        <w:rPr>
          <w:rFonts w:hint="eastAsia" w:ascii="仿宋_GB2312" w:eastAsia="仿宋_GB2312"/>
          <w:sz w:val="32"/>
          <w:szCs w:val="32"/>
          <w:lang w:val="en-US" w:eastAsia="zh-CN"/>
        </w:rPr>
        <w:t>校内各部门、学院、书院须自觉加强管辖范围内的所有新媒体平台的管理，并按照《南京审计大学意识形态工作责任制实施细则》中的工作责任，切实加强对所属范围内新媒体负责人履责的教育、引导和管理。</w:t>
      </w:r>
    </w:p>
    <w:p>
      <w:pPr>
        <w:keepNext w:val="0"/>
        <w:keepLines w:val="0"/>
        <w:pageBreakBefore w:val="0"/>
        <w:widowControl w:val="0"/>
        <w:kinsoku/>
        <w:wordWrap/>
        <w:overflowPunct/>
        <w:topLinePunct w:val="0"/>
        <w:autoSpaceDE/>
        <w:autoSpaceDN/>
        <w:bidi w:val="0"/>
        <w:adjustRightInd/>
        <w:snapToGrid w:val="0"/>
        <w:spacing w:before="312" w:beforeLines="100" w:line="600" w:lineRule="exact"/>
        <w:jc w:val="center"/>
        <w:textAlignment w:val="auto"/>
        <w:outlineLvl w:val="9"/>
        <w:rPr>
          <w:rFonts w:ascii="宋体" w:cs="宋体"/>
          <w:b/>
          <w:sz w:val="32"/>
          <w:szCs w:val="32"/>
        </w:rPr>
      </w:pPr>
      <w:r>
        <w:rPr>
          <w:rFonts w:hint="eastAsia" w:ascii="宋体" w:hAnsi="宋体" w:cs="宋体"/>
          <w:b/>
          <w:sz w:val="32"/>
          <w:szCs w:val="32"/>
        </w:rPr>
        <w:t>第四章</w:t>
      </w:r>
      <w:r>
        <w:rPr>
          <w:rFonts w:ascii="宋体" w:hAnsi="宋体" w:cs="宋体"/>
          <w:b/>
          <w:sz w:val="32"/>
          <w:szCs w:val="32"/>
        </w:rPr>
        <w:t xml:space="preserve">  </w:t>
      </w:r>
      <w:r>
        <w:rPr>
          <w:rFonts w:hint="eastAsia" w:ascii="宋体" w:hAnsi="宋体" w:cs="宋体"/>
          <w:b/>
          <w:sz w:val="32"/>
          <w:szCs w:val="32"/>
        </w:rPr>
        <w:t>工作机制和信息安全</w:t>
      </w:r>
    </w:p>
    <w:p>
      <w:pPr>
        <w:keepNext w:val="0"/>
        <w:keepLines w:val="0"/>
        <w:pageBreakBefore w:val="0"/>
        <w:widowControl w:val="0"/>
        <w:kinsoku/>
        <w:wordWrap/>
        <w:overflowPunct/>
        <w:topLinePunct w:val="0"/>
        <w:autoSpaceDE/>
        <w:autoSpaceDN/>
        <w:bidi w:val="0"/>
        <w:adjustRightInd/>
        <w:snapToGrid w:val="0"/>
        <w:spacing w:before="156" w:beforeLines="50"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四</w:t>
      </w:r>
      <w:r>
        <w:rPr>
          <w:rFonts w:hint="eastAsia" w:ascii="仿宋_GB2312" w:eastAsia="仿宋_GB2312"/>
          <w:b/>
          <w:sz w:val="32"/>
          <w:szCs w:val="32"/>
        </w:rPr>
        <w:t>条</w:t>
      </w:r>
      <w:r>
        <w:rPr>
          <w:rFonts w:ascii="仿宋_GB2312" w:eastAsia="仿宋_GB2312"/>
          <w:sz w:val="32"/>
          <w:szCs w:val="32"/>
        </w:rPr>
        <w:t xml:space="preserve"> </w:t>
      </w:r>
      <w:r>
        <w:rPr>
          <w:rFonts w:hint="eastAsia" w:ascii="仿宋_GB2312" w:eastAsia="仿宋_GB2312"/>
          <w:sz w:val="32"/>
          <w:szCs w:val="32"/>
        </w:rPr>
        <w:t>建立新媒体内容发布审查机制。新媒体平台建设管理单位、部门对所发布内容的真实性负责，严格执行“先审后发”制度，严禁发布不实、不健康等违规信息。</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五</w:t>
      </w:r>
      <w:r>
        <w:rPr>
          <w:rFonts w:hint="eastAsia" w:ascii="仿宋_GB2312" w:eastAsia="仿宋_GB2312"/>
          <w:b/>
          <w:sz w:val="32"/>
          <w:szCs w:val="32"/>
        </w:rPr>
        <w:t>条</w:t>
      </w:r>
      <w:r>
        <w:rPr>
          <w:rFonts w:ascii="仿宋_GB2312" w:eastAsia="仿宋_GB2312"/>
          <w:sz w:val="32"/>
          <w:szCs w:val="32"/>
        </w:rPr>
        <w:t xml:space="preserve"> </w:t>
      </w:r>
      <w:r>
        <w:rPr>
          <w:rFonts w:hint="eastAsia" w:ascii="仿宋_GB2312" w:eastAsia="仿宋_GB2312"/>
          <w:sz w:val="32"/>
          <w:szCs w:val="32"/>
        </w:rPr>
        <w:t>官方新媒体发布消息要严格遵守相关法律及规定，未经学校相关部门授权，各级官方新媒体不得擅自发布涉及学校重大事件、突发事件和社会热点及</w:t>
      </w:r>
      <w:r>
        <w:rPr>
          <w:rFonts w:hint="eastAsia" w:ascii="仿宋_GB2312" w:eastAsia="仿宋_GB2312"/>
          <w:spacing w:val="-20"/>
          <w:sz w:val="32"/>
          <w:szCs w:val="32"/>
        </w:rPr>
        <w:t>敏感问题的相关信息内容。</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六</w:t>
      </w:r>
      <w:r>
        <w:rPr>
          <w:rFonts w:hint="eastAsia" w:ascii="仿宋_GB2312" w:eastAsia="仿宋_GB2312"/>
          <w:b/>
          <w:sz w:val="32"/>
          <w:szCs w:val="32"/>
        </w:rPr>
        <w:t>条</w:t>
      </w:r>
      <w:r>
        <w:rPr>
          <w:rFonts w:ascii="仿宋_GB2312" w:eastAsia="仿宋_GB2312"/>
          <w:sz w:val="32"/>
          <w:szCs w:val="32"/>
        </w:rPr>
        <w:t xml:space="preserve"> </w:t>
      </w:r>
      <w:r>
        <w:rPr>
          <w:rFonts w:hint="eastAsia" w:ascii="仿宋_GB2312" w:eastAsia="仿宋_GB2312"/>
          <w:sz w:val="32"/>
          <w:szCs w:val="32"/>
        </w:rPr>
        <w:t>涉及学校党政主要领导在所在部门、团体的活动、讲话信息，发布前须经党委宣传部审核；采访学校党政主要领导的，事前须向党委宣传部报告。</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七</w:t>
      </w:r>
      <w:r>
        <w:rPr>
          <w:rFonts w:hint="eastAsia" w:ascii="仿宋_GB2312" w:eastAsia="仿宋_GB2312"/>
          <w:b/>
          <w:sz w:val="32"/>
          <w:szCs w:val="32"/>
        </w:rPr>
        <w:t>条</w:t>
      </w:r>
      <w:r>
        <w:rPr>
          <w:rFonts w:ascii="仿宋_GB2312" w:eastAsia="仿宋_GB2312"/>
          <w:sz w:val="32"/>
          <w:szCs w:val="32"/>
        </w:rPr>
        <w:t xml:space="preserve"> </w:t>
      </w:r>
      <w:r>
        <w:rPr>
          <w:rFonts w:hint="eastAsia" w:ascii="仿宋_GB2312" w:eastAsia="仿宋_GB2312"/>
          <w:sz w:val="32"/>
          <w:szCs w:val="32"/>
        </w:rPr>
        <w:t>建立信息纠错机制。不实、不良信息须立即删除，并追究相关发布人、审核人责任。有错信息要及时更正。</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八</w:t>
      </w:r>
      <w:r>
        <w:rPr>
          <w:rFonts w:hint="eastAsia" w:ascii="仿宋_GB2312" w:eastAsia="仿宋_GB2312"/>
          <w:b/>
          <w:sz w:val="32"/>
          <w:szCs w:val="32"/>
        </w:rPr>
        <w:t>条</w:t>
      </w:r>
      <w:r>
        <w:rPr>
          <w:rFonts w:ascii="仿宋_GB2312" w:eastAsia="仿宋_GB2312"/>
          <w:b/>
          <w:sz w:val="32"/>
          <w:szCs w:val="32"/>
        </w:rPr>
        <w:t xml:space="preserve"> </w:t>
      </w:r>
      <w:r>
        <w:rPr>
          <w:rFonts w:hint="eastAsia" w:ascii="仿宋_GB2312" w:eastAsia="仿宋_GB2312"/>
          <w:sz w:val="32"/>
          <w:szCs w:val="32"/>
        </w:rPr>
        <w:t>建立新媒体内容发布联动机制。在涉及学校重大事项或危机应对时，新媒体平台应按照扎口管理要求，由党委宣传部在校级官方平台上发布。</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九</w:t>
      </w:r>
      <w:r>
        <w:rPr>
          <w:rFonts w:hint="eastAsia" w:ascii="仿宋" w:hAnsi="仿宋" w:eastAsia="仿宋" w:cs="仿宋"/>
          <w:b/>
          <w:sz w:val="32"/>
          <w:szCs w:val="32"/>
        </w:rPr>
        <w:t>条</w:t>
      </w:r>
      <w:r>
        <w:rPr>
          <w:rFonts w:hint="eastAsia" w:ascii="仿宋" w:hAnsi="仿宋" w:eastAsia="仿宋" w:cs="仿宋"/>
          <w:sz w:val="32"/>
          <w:szCs w:val="32"/>
        </w:rPr>
        <w:t xml:space="preserve"> 校内各级官方新媒体发布和转载有关信息应遵守国家相关保密规定。凡涉及党和国家秘密等相关资料及文件、学校内部办公信息或暂不宜向公众公开的事项，要严格把关，避免泄密事件发生。违者将追究其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w:t>
      </w:r>
      <w:r>
        <w:rPr>
          <w:rFonts w:hint="eastAsia" w:ascii="仿宋" w:hAnsi="仿宋" w:eastAsia="仿宋" w:cs="仿宋"/>
          <w:b/>
          <w:sz w:val="32"/>
          <w:szCs w:val="32"/>
        </w:rPr>
        <w:t>条</w:t>
      </w:r>
      <w:r>
        <w:rPr>
          <w:rFonts w:hint="eastAsia" w:ascii="仿宋" w:hAnsi="仿宋" w:eastAsia="仿宋" w:cs="仿宋"/>
          <w:sz w:val="32"/>
          <w:szCs w:val="32"/>
        </w:rPr>
        <w:t xml:space="preserve"> 各部门对所属新媒体账号进行日常管理，发现问题及时整改；同时，实行年审制，每年</w:t>
      </w:r>
      <w:r>
        <w:rPr>
          <w:rFonts w:hint="eastAsia" w:ascii="仿宋" w:hAnsi="仿宋" w:eastAsia="仿宋" w:cs="仿宋"/>
          <w:sz w:val="32"/>
          <w:szCs w:val="32"/>
          <w:lang w:eastAsia="zh-CN"/>
        </w:rPr>
        <w:t>十二月</w:t>
      </w:r>
      <w:r>
        <w:rPr>
          <w:rFonts w:hint="eastAsia" w:ascii="仿宋" w:hAnsi="仿宋" w:eastAsia="仿宋" w:cs="仿宋"/>
          <w:sz w:val="32"/>
          <w:szCs w:val="32"/>
        </w:rPr>
        <w:t>下旬各部门对各新媒体账号进行审核，不符合相关规定的新媒体账号予以关停。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一</w:t>
      </w:r>
      <w:r>
        <w:rPr>
          <w:rFonts w:hint="eastAsia" w:ascii="仿宋" w:hAnsi="仿宋" w:eastAsia="仿宋" w:cs="仿宋"/>
          <w:b/>
          <w:sz w:val="32"/>
          <w:szCs w:val="32"/>
        </w:rPr>
        <w:t xml:space="preserve">条 </w:t>
      </w:r>
      <w:r>
        <w:rPr>
          <w:rFonts w:hint="eastAsia" w:ascii="仿宋" w:hAnsi="仿宋" w:eastAsia="仿宋" w:cs="仿宋"/>
          <w:sz w:val="32"/>
          <w:szCs w:val="32"/>
        </w:rPr>
        <w:t>违反第十</w:t>
      </w:r>
      <w:r>
        <w:rPr>
          <w:rFonts w:hint="eastAsia" w:ascii="仿宋" w:hAnsi="仿宋" w:eastAsia="仿宋" w:cs="仿宋"/>
          <w:sz w:val="32"/>
          <w:szCs w:val="32"/>
          <w:lang w:eastAsia="zh-CN"/>
        </w:rPr>
        <w:t>三</w:t>
      </w:r>
      <w:r>
        <w:rPr>
          <w:rFonts w:hint="eastAsia" w:ascii="仿宋" w:hAnsi="仿宋" w:eastAsia="仿宋" w:cs="仿宋"/>
          <w:sz w:val="32"/>
          <w:szCs w:val="32"/>
        </w:rPr>
        <w:t>条至第十九条相关规定，造成重大不良影响的，学校责令其停止运营，并追究相关人员责任。</w:t>
      </w:r>
    </w:p>
    <w:p>
      <w:pPr>
        <w:keepNext w:val="0"/>
        <w:keepLines w:val="0"/>
        <w:pageBreakBefore w:val="0"/>
        <w:widowControl w:val="0"/>
        <w:kinsoku/>
        <w:wordWrap/>
        <w:overflowPunct/>
        <w:topLinePunct w:val="0"/>
        <w:autoSpaceDE/>
        <w:autoSpaceDN/>
        <w:bidi w:val="0"/>
        <w:adjustRightInd/>
        <w:snapToGrid w:val="0"/>
        <w:spacing w:before="312" w:beforeLines="100" w:line="600" w:lineRule="exact"/>
        <w:jc w:val="center"/>
        <w:textAlignment w:val="auto"/>
        <w:outlineLvl w:val="9"/>
        <w:rPr>
          <w:rFonts w:ascii="宋体" w:cs="宋体"/>
          <w:b/>
          <w:sz w:val="32"/>
          <w:szCs w:val="32"/>
        </w:rPr>
      </w:pPr>
      <w:r>
        <w:rPr>
          <w:rFonts w:hint="eastAsia" w:ascii="宋体" w:hAnsi="宋体" w:cs="宋体"/>
          <w:b/>
          <w:sz w:val="32"/>
          <w:szCs w:val="32"/>
        </w:rPr>
        <w:t>第五章</w:t>
      </w:r>
      <w:r>
        <w:rPr>
          <w:rFonts w:ascii="宋体" w:hAnsi="宋体" w:cs="宋体"/>
          <w:b/>
          <w:sz w:val="32"/>
          <w:szCs w:val="32"/>
        </w:rPr>
        <w:t xml:space="preserve">  </w:t>
      </w:r>
      <w:r>
        <w:rPr>
          <w:rFonts w:hint="eastAsia" w:ascii="宋体" w:hAnsi="宋体" w:cs="宋体"/>
          <w:b/>
          <w:sz w:val="32"/>
          <w:szCs w:val="32"/>
        </w:rPr>
        <w:t>附则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二</w:t>
      </w:r>
      <w:r>
        <w:rPr>
          <w:rFonts w:hint="eastAsia" w:ascii="仿宋_GB2312" w:eastAsia="仿宋_GB2312"/>
          <w:b/>
          <w:sz w:val="32"/>
          <w:szCs w:val="32"/>
        </w:rPr>
        <w:t>条</w:t>
      </w:r>
      <w:r>
        <w:rPr>
          <w:rFonts w:ascii="仿宋_GB2312" w:eastAsia="仿宋_GB2312"/>
          <w:sz w:val="32"/>
          <w:szCs w:val="32"/>
        </w:rPr>
        <w:t xml:space="preserve"> </w:t>
      </w:r>
      <w:r>
        <w:rPr>
          <w:rFonts w:hint="eastAsia" w:ascii="仿宋_GB2312" w:eastAsia="仿宋_GB2312"/>
          <w:sz w:val="32"/>
          <w:szCs w:val="32"/>
        </w:rPr>
        <w:t>本办法解释权归校党委宣传部。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三</w:t>
      </w:r>
      <w:r>
        <w:rPr>
          <w:rFonts w:hint="eastAsia" w:ascii="仿宋_GB2312" w:eastAsia="仿宋_GB2312"/>
          <w:b/>
          <w:sz w:val="32"/>
          <w:szCs w:val="32"/>
        </w:rPr>
        <w:t>条</w:t>
      </w:r>
      <w:r>
        <w:rPr>
          <w:rFonts w:ascii="仿宋_GB2312" w:eastAsia="仿宋_GB2312"/>
          <w:b/>
          <w:sz w:val="32"/>
          <w:szCs w:val="32"/>
        </w:rPr>
        <w:t xml:space="preserve"> </w:t>
      </w:r>
      <w:r>
        <w:rPr>
          <w:rFonts w:hint="eastAsia" w:ascii="仿宋_GB2312" w:eastAsia="仿宋_GB2312"/>
          <w:sz w:val="32"/>
          <w:szCs w:val="32"/>
        </w:rPr>
        <w:t>本办法自颁布之日起执行。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eastAsia="仿宋_GB2312"/>
          <w:sz w:val="32"/>
          <w:szCs w:val="32"/>
        </w:rPr>
      </w:pPr>
    </w:p>
    <w:p>
      <w:pPr>
        <w:jc w:val="center"/>
        <w:rPr>
          <w:rFonts w:ascii="宋体"/>
          <w:b/>
          <w:sz w:val="32"/>
          <w:szCs w:val="32"/>
        </w:rPr>
      </w:pPr>
      <w:r>
        <w:rPr>
          <w:rFonts w:ascii="宋体" w:hAnsi="宋体"/>
          <w:b/>
          <w:sz w:val="32"/>
          <w:szCs w:val="32"/>
        </w:rPr>
        <w:t xml:space="preserve">  </w:t>
      </w:r>
      <w:r>
        <w:rPr>
          <w:rFonts w:hint="eastAsia" w:ascii="宋体" w:hAnsi="宋体"/>
          <w:b/>
          <w:sz w:val="32"/>
          <w:szCs w:val="32"/>
        </w:rPr>
        <w:t>南京审计大学新媒体平台备案表</w:t>
      </w:r>
    </w:p>
    <w:tbl>
      <w:tblPr>
        <w:tblStyle w:val="5"/>
        <w:tblpPr w:leftFromText="182" w:rightFromText="182" w:vertAnchor="text" w:horzAnchor="page" w:tblpX="1974" w:tblpY="23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836"/>
        <w:gridCol w:w="7"/>
        <w:gridCol w:w="460"/>
        <w:gridCol w:w="793"/>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26" w:type="dxa"/>
            <w:vAlign w:val="center"/>
          </w:tcPr>
          <w:p>
            <w:pPr>
              <w:jc w:val="center"/>
              <w:rPr>
                <w:rFonts w:ascii="仿宋_GB2312" w:hAnsi="微软雅黑" w:eastAsia="仿宋_GB2312"/>
                <w:b/>
                <w:sz w:val="24"/>
              </w:rPr>
            </w:pPr>
            <w:r>
              <w:rPr>
                <w:rFonts w:hint="eastAsia" w:ascii="仿宋_GB2312" w:hAnsi="微软雅黑" w:eastAsia="仿宋_GB2312"/>
                <w:b/>
                <w:sz w:val="24"/>
              </w:rPr>
              <w:t>创建单位</w:t>
            </w:r>
          </w:p>
        </w:tc>
        <w:tc>
          <w:tcPr>
            <w:tcW w:w="2970" w:type="dxa"/>
            <w:gridSpan w:val="2"/>
            <w:vAlign w:val="center"/>
          </w:tcPr>
          <w:p>
            <w:pPr>
              <w:jc w:val="center"/>
              <w:rPr>
                <w:rFonts w:ascii="仿宋_GB2312" w:hAnsi="微软雅黑" w:eastAsia="仿宋_GB2312"/>
                <w:sz w:val="24"/>
              </w:rPr>
            </w:pPr>
          </w:p>
        </w:tc>
        <w:tc>
          <w:tcPr>
            <w:tcW w:w="1260" w:type="dxa"/>
            <w:gridSpan w:val="3"/>
            <w:vAlign w:val="center"/>
          </w:tcPr>
          <w:p>
            <w:pPr>
              <w:jc w:val="center"/>
              <w:rPr>
                <w:rFonts w:ascii="仿宋_GB2312" w:hAnsi="微软雅黑" w:eastAsia="仿宋_GB2312"/>
                <w:sz w:val="24"/>
              </w:rPr>
            </w:pPr>
            <w:r>
              <w:rPr>
                <w:rFonts w:hint="eastAsia" w:ascii="仿宋_GB2312" w:hAnsi="微软雅黑" w:eastAsia="仿宋_GB2312"/>
                <w:b/>
                <w:sz w:val="24"/>
              </w:rPr>
              <w:t>媒体平台</w:t>
            </w:r>
          </w:p>
        </w:tc>
        <w:tc>
          <w:tcPr>
            <w:tcW w:w="2716" w:type="dxa"/>
            <w:vAlign w:val="center"/>
          </w:tcPr>
          <w:p>
            <w:pPr>
              <w:jc w:val="center"/>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26" w:type="dxa"/>
            <w:vAlign w:val="center"/>
          </w:tcPr>
          <w:p>
            <w:pPr>
              <w:jc w:val="center"/>
              <w:rPr>
                <w:rFonts w:ascii="仿宋_GB2312" w:hAnsi="微软雅黑" w:eastAsia="仿宋_GB2312"/>
                <w:b/>
                <w:sz w:val="24"/>
              </w:rPr>
            </w:pPr>
            <w:r>
              <w:rPr>
                <w:rFonts w:hint="eastAsia" w:ascii="仿宋_GB2312" w:hAnsi="微软雅黑" w:eastAsia="仿宋_GB2312"/>
                <w:b/>
                <w:sz w:val="24"/>
              </w:rPr>
              <w:t>账号名称</w:t>
            </w:r>
          </w:p>
        </w:tc>
        <w:tc>
          <w:tcPr>
            <w:tcW w:w="2970" w:type="dxa"/>
            <w:gridSpan w:val="2"/>
            <w:vAlign w:val="center"/>
          </w:tcPr>
          <w:p>
            <w:pPr>
              <w:jc w:val="center"/>
              <w:rPr>
                <w:rFonts w:ascii="仿宋_GB2312" w:hAnsi="微软雅黑" w:eastAsia="仿宋_GB2312"/>
                <w:sz w:val="24"/>
              </w:rPr>
            </w:pPr>
          </w:p>
        </w:tc>
        <w:tc>
          <w:tcPr>
            <w:tcW w:w="1260" w:type="dxa"/>
            <w:gridSpan w:val="3"/>
            <w:vAlign w:val="center"/>
          </w:tcPr>
          <w:p>
            <w:pPr>
              <w:jc w:val="center"/>
              <w:rPr>
                <w:rFonts w:ascii="仿宋_GB2312" w:hAnsi="微软雅黑" w:eastAsia="仿宋_GB2312"/>
                <w:sz w:val="24"/>
              </w:rPr>
            </w:pPr>
            <w:r>
              <w:rPr>
                <w:rFonts w:hint="eastAsia" w:ascii="仿宋_GB2312" w:hAnsi="微软雅黑" w:eastAsia="仿宋_GB2312"/>
                <w:b/>
                <w:sz w:val="24"/>
              </w:rPr>
              <w:t>是否认证</w:t>
            </w:r>
          </w:p>
        </w:tc>
        <w:tc>
          <w:tcPr>
            <w:tcW w:w="2716" w:type="dxa"/>
            <w:vAlign w:val="center"/>
          </w:tcPr>
          <w:p>
            <w:pPr>
              <w:jc w:val="center"/>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26" w:type="dxa"/>
            <w:vAlign w:val="center"/>
          </w:tcPr>
          <w:p>
            <w:pPr>
              <w:pStyle w:val="6"/>
              <w:jc w:val="center"/>
              <w:rPr>
                <w:rFonts w:ascii="仿宋_GB2312" w:hAnsi="微软雅黑" w:eastAsia="仿宋_GB2312"/>
                <w:b/>
                <w:sz w:val="24"/>
                <w:szCs w:val="24"/>
              </w:rPr>
            </w:pPr>
            <w:r>
              <w:rPr>
                <w:rFonts w:hint="eastAsia" w:ascii="仿宋_GB2312" w:hAnsi="微软雅黑" w:eastAsia="仿宋_GB2312"/>
                <w:b/>
                <w:sz w:val="24"/>
                <w:szCs w:val="24"/>
              </w:rPr>
              <w:t>内容范围</w:t>
            </w:r>
          </w:p>
        </w:tc>
        <w:tc>
          <w:tcPr>
            <w:tcW w:w="2970" w:type="dxa"/>
            <w:gridSpan w:val="2"/>
            <w:vAlign w:val="center"/>
          </w:tcPr>
          <w:p>
            <w:pPr>
              <w:shd w:val="solid" w:color="FFFFFF" w:fill="auto"/>
              <w:autoSpaceDN w:val="0"/>
              <w:spacing w:line="15" w:lineRule="atLeast"/>
              <w:jc w:val="center"/>
              <w:rPr>
                <w:rFonts w:ascii="仿宋_GB2312" w:hAnsi="微软雅黑" w:eastAsia="仿宋_GB2312"/>
                <w:sz w:val="24"/>
              </w:rPr>
            </w:pPr>
          </w:p>
        </w:tc>
        <w:tc>
          <w:tcPr>
            <w:tcW w:w="1260" w:type="dxa"/>
            <w:gridSpan w:val="3"/>
            <w:vAlign w:val="center"/>
          </w:tcPr>
          <w:p>
            <w:pPr>
              <w:shd w:val="solid" w:color="FFFFFF" w:fill="auto"/>
              <w:autoSpaceDN w:val="0"/>
              <w:spacing w:line="15" w:lineRule="atLeast"/>
              <w:jc w:val="center"/>
              <w:rPr>
                <w:rFonts w:ascii="仿宋_GB2312" w:hAnsi="微软雅黑" w:eastAsia="仿宋_GB2312"/>
                <w:b/>
                <w:sz w:val="24"/>
              </w:rPr>
            </w:pPr>
            <w:r>
              <w:rPr>
                <w:rFonts w:hint="eastAsia" w:ascii="仿宋_GB2312" w:hAnsi="微软雅黑" w:eastAsia="仿宋_GB2312"/>
                <w:b/>
                <w:sz w:val="24"/>
              </w:rPr>
              <w:t>创建时间</w:t>
            </w:r>
          </w:p>
        </w:tc>
        <w:tc>
          <w:tcPr>
            <w:tcW w:w="2716" w:type="dxa"/>
            <w:vAlign w:val="center"/>
          </w:tcPr>
          <w:p>
            <w:pPr>
              <w:jc w:val="center"/>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526" w:type="dxa"/>
            <w:vMerge w:val="restart"/>
            <w:vAlign w:val="center"/>
          </w:tcPr>
          <w:p>
            <w:pPr>
              <w:jc w:val="center"/>
              <w:rPr>
                <w:rFonts w:ascii="仿宋_GB2312" w:hAnsi="微软雅黑" w:eastAsia="仿宋_GB2312"/>
                <w:b/>
                <w:sz w:val="24"/>
              </w:rPr>
            </w:pPr>
            <w:r>
              <w:rPr>
                <w:rFonts w:hint="eastAsia" w:ascii="仿宋_GB2312" w:hAnsi="微软雅黑" w:eastAsia="仿宋_GB2312"/>
                <w:b/>
                <w:sz w:val="24"/>
              </w:rPr>
              <w:t>管理队伍</w:t>
            </w:r>
          </w:p>
        </w:tc>
        <w:tc>
          <w:tcPr>
            <w:tcW w:w="1134" w:type="dxa"/>
            <w:vAlign w:val="center"/>
          </w:tcPr>
          <w:p>
            <w:pPr>
              <w:jc w:val="center"/>
              <w:rPr>
                <w:rFonts w:ascii="仿宋_GB2312" w:hAnsi="微软雅黑" w:eastAsia="仿宋_GB2312"/>
                <w:b/>
                <w:sz w:val="24"/>
              </w:rPr>
            </w:pPr>
            <w:r>
              <w:rPr>
                <w:rFonts w:hint="eastAsia" w:ascii="仿宋_GB2312" w:hAnsi="微软雅黑" w:eastAsia="仿宋_GB2312"/>
                <w:b/>
                <w:sz w:val="24"/>
              </w:rPr>
              <w:t>负责人</w:t>
            </w:r>
          </w:p>
        </w:tc>
        <w:tc>
          <w:tcPr>
            <w:tcW w:w="1843" w:type="dxa"/>
            <w:gridSpan w:val="2"/>
            <w:vAlign w:val="center"/>
          </w:tcPr>
          <w:p>
            <w:pPr>
              <w:jc w:val="center"/>
              <w:rPr>
                <w:rFonts w:ascii="仿宋_GB2312" w:hAnsi="微软雅黑" w:eastAsia="仿宋_GB2312"/>
                <w:b/>
                <w:sz w:val="24"/>
              </w:rPr>
            </w:pPr>
          </w:p>
        </w:tc>
        <w:tc>
          <w:tcPr>
            <w:tcW w:w="460" w:type="dxa"/>
            <w:vMerge w:val="restart"/>
            <w:vAlign w:val="center"/>
          </w:tcPr>
          <w:p>
            <w:pPr>
              <w:jc w:val="center"/>
              <w:rPr>
                <w:rFonts w:ascii="仿宋_GB2312" w:hAnsi="微软雅黑" w:eastAsia="仿宋_GB2312"/>
                <w:b/>
                <w:sz w:val="24"/>
              </w:rPr>
            </w:pPr>
            <w:r>
              <w:rPr>
                <w:rFonts w:hint="eastAsia" w:ascii="仿宋_GB2312" w:hAnsi="微软雅黑" w:eastAsia="仿宋_GB2312"/>
                <w:b/>
                <w:sz w:val="24"/>
              </w:rPr>
              <w:t>联络手机</w:t>
            </w:r>
          </w:p>
        </w:tc>
        <w:tc>
          <w:tcPr>
            <w:tcW w:w="3509" w:type="dxa"/>
            <w:gridSpan w:val="2"/>
            <w:vAlign w:val="center"/>
          </w:tcPr>
          <w:p>
            <w:pPr>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526" w:type="dxa"/>
            <w:vMerge w:val="continue"/>
            <w:vAlign w:val="center"/>
          </w:tcPr>
          <w:p>
            <w:pPr>
              <w:jc w:val="center"/>
              <w:rPr>
                <w:rFonts w:ascii="仿宋_GB2312" w:hAnsi="微软雅黑" w:eastAsia="仿宋_GB2312"/>
                <w:b/>
                <w:sz w:val="24"/>
              </w:rPr>
            </w:pPr>
          </w:p>
        </w:tc>
        <w:tc>
          <w:tcPr>
            <w:tcW w:w="1134" w:type="dxa"/>
            <w:vAlign w:val="center"/>
          </w:tcPr>
          <w:p>
            <w:pPr>
              <w:jc w:val="center"/>
              <w:rPr>
                <w:rFonts w:ascii="仿宋_GB2312" w:hAnsi="微软雅黑" w:eastAsia="仿宋_GB2312"/>
                <w:b/>
                <w:sz w:val="24"/>
              </w:rPr>
            </w:pPr>
            <w:r>
              <w:rPr>
                <w:rFonts w:hint="eastAsia" w:ascii="仿宋_GB2312" w:hAnsi="微软雅黑" w:eastAsia="仿宋_GB2312"/>
                <w:b/>
                <w:sz w:val="24"/>
              </w:rPr>
              <w:t>管理员</w:t>
            </w:r>
          </w:p>
        </w:tc>
        <w:tc>
          <w:tcPr>
            <w:tcW w:w="1843" w:type="dxa"/>
            <w:gridSpan w:val="2"/>
            <w:vAlign w:val="center"/>
          </w:tcPr>
          <w:p>
            <w:pPr>
              <w:jc w:val="center"/>
              <w:rPr>
                <w:rFonts w:ascii="仿宋_GB2312" w:hAnsi="微软雅黑" w:eastAsia="仿宋_GB2312"/>
                <w:b/>
                <w:sz w:val="24"/>
              </w:rPr>
            </w:pPr>
          </w:p>
        </w:tc>
        <w:tc>
          <w:tcPr>
            <w:tcW w:w="460" w:type="dxa"/>
            <w:vMerge w:val="continue"/>
            <w:vAlign w:val="center"/>
          </w:tcPr>
          <w:p>
            <w:pPr>
              <w:jc w:val="center"/>
              <w:rPr>
                <w:rFonts w:ascii="仿宋_GB2312" w:hAnsi="微软雅黑" w:eastAsia="仿宋_GB2312"/>
                <w:b/>
                <w:sz w:val="24"/>
              </w:rPr>
            </w:pPr>
          </w:p>
        </w:tc>
        <w:tc>
          <w:tcPr>
            <w:tcW w:w="3509" w:type="dxa"/>
            <w:gridSpan w:val="2"/>
            <w:vAlign w:val="center"/>
          </w:tcPr>
          <w:p>
            <w:pPr>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6" w:type="dxa"/>
            <w:vMerge w:val="continue"/>
            <w:vAlign w:val="center"/>
          </w:tcPr>
          <w:p>
            <w:pPr>
              <w:jc w:val="center"/>
              <w:rPr>
                <w:rFonts w:ascii="仿宋_GB2312" w:hAnsi="微软雅黑" w:eastAsia="仿宋_GB2312"/>
                <w:sz w:val="24"/>
              </w:rPr>
            </w:pPr>
          </w:p>
        </w:tc>
        <w:tc>
          <w:tcPr>
            <w:tcW w:w="1134" w:type="dxa"/>
            <w:vAlign w:val="center"/>
          </w:tcPr>
          <w:p>
            <w:pPr>
              <w:jc w:val="center"/>
              <w:rPr>
                <w:rFonts w:ascii="仿宋_GB2312" w:hAnsi="微软雅黑" w:eastAsia="仿宋_GB2312"/>
                <w:b/>
                <w:sz w:val="24"/>
              </w:rPr>
            </w:pPr>
            <w:r>
              <w:rPr>
                <w:rFonts w:hint="eastAsia" w:ascii="仿宋_GB2312" w:hAnsi="微软雅黑" w:eastAsia="仿宋_GB2312"/>
                <w:b/>
                <w:sz w:val="24"/>
              </w:rPr>
              <w:t>管理员</w:t>
            </w:r>
          </w:p>
        </w:tc>
        <w:tc>
          <w:tcPr>
            <w:tcW w:w="1843" w:type="dxa"/>
            <w:gridSpan w:val="2"/>
            <w:vAlign w:val="center"/>
          </w:tcPr>
          <w:p>
            <w:pPr>
              <w:jc w:val="center"/>
              <w:rPr>
                <w:rFonts w:ascii="仿宋_GB2312" w:hAnsi="微软雅黑" w:eastAsia="仿宋_GB2312"/>
                <w:sz w:val="24"/>
              </w:rPr>
            </w:pPr>
          </w:p>
        </w:tc>
        <w:tc>
          <w:tcPr>
            <w:tcW w:w="460" w:type="dxa"/>
            <w:vMerge w:val="continue"/>
            <w:vAlign w:val="center"/>
          </w:tcPr>
          <w:p>
            <w:pPr>
              <w:jc w:val="center"/>
              <w:rPr>
                <w:rFonts w:ascii="仿宋_GB2312" w:hAnsi="微软雅黑" w:eastAsia="仿宋_GB2312"/>
                <w:sz w:val="24"/>
              </w:rPr>
            </w:pPr>
          </w:p>
        </w:tc>
        <w:tc>
          <w:tcPr>
            <w:tcW w:w="3509" w:type="dxa"/>
            <w:gridSpan w:val="2"/>
            <w:vAlign w:val="center"/>
          </w:tcPr>
          <w:p>
            <w:pPr>
              <w:jc w:val="center"/>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vMerge w:val="continue"/>
            <w:vAlign w:val="center"/>
          </w:tcPr>
          <w:p>
            <w:pPr>
              <w:jc w:val="center"/>
              <w:rPr>
                <w:rFonts w:ascii="仿宋_GB2312" w:hAnsi="微软雅黑" w:eastAsia="仿宋_GB2312"/>
                <w:sz w:val="24"/>
              </w:rPr>
            </w:pPr>
          </w:p>
        </w:tc>
        <w:tc>
          <w:tcPr>
            <w:tcW w:w="1134" w:type="dxa"/>
            <w:vAlign w:val="center"/>
          </w:tcPr>
          <w:p>
            <w:pPr>
              <w:jc w:val="center"/>
              <w:rPr>
                <w:rFonts w:ascii="仿宋_GB2312" w:hAnsi="微软雅黑" w:eastAsia="仿宋_GB2312"/>
                <w:b/>
                <w:sz w:val="24"/>
              </w:rPr>
            </w:pPr>
            <w:r>
              <w:rPr>
                <w:rFonts w:hint="eastAsia" w:ascii="仿宋_GB2312" w:hAnsi="微软雅黑" w:eastAsia="仿宋_GB2312"/>
                <w:b/>
                <w:sz w:val="24"/>
              </w:rPr>
              <w:t>管理员</w:t>
            </w:r>
          </w:p>
        </w:tc>
        <w:tc>
          <w:tcPr>
            <w:tcW w:w="1843" w:type="dxa"/>
            <w:gridSpan w:val="2"/>
            <w:vAlign w:val="center"/>
          </w:tcPr>
          <w:p>
            <w:pPr>
              <w:jc w:val="center"/>
              <w:rPr>
                <w:rFonts w:ascii="仿宋_GB2312" w:hAnsi="微软雅黑" w:eastAsia="仿宋_GB2312"/>
                <w:sz w:val="24"/>
              </w:rPr>
            </w:pPr>
          </w:p>
        </w:tc>
        <w:tc>
          <w:tcPr>
            <w:tcW w:w="460" w:type="dxa"/>
            <w:vMerge w:val="continue"/>
            <w:vAlign w:val="center"/>
          </w:tcPr>
          <w:p>
            <w:pPr>
              <w:jc w:val="center"/>
              <w:rPr>
                <w:rFonts w:ascii="仿宋_GB2312" w:hAnsi="微软雅黑" w:eastAsia="仿宋_GB2312"/>
                <w:sz w:val="24"/>
              </w:rPr>
            </w:pPr>
          </w:p>
        </w:tc>
        <w:tc>
          <w:tcPr>
            <w:tcW w:w="3509" w:type="dxa"/>
            <w:gridSpan w:val="2"/>
            <w:vAlign w:val="center"/>
          </w:tcPr>
          <w:p>
            <w:pPr>
              <w:jc w:val="center"/>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3" w:hRule="atLeast"/>
        </w:trPr>
        <w:tc>
          <w:tcPr>
            <w:tcW w:w="1526" w:type="dxa"/>
            <w:vAlign w:val="center"/>
          </w:tcPr>
          <w:p>
            <w:pPr>
              <w:jc w:val="center"/>
              <w:rPr>
                <w:rFonts w:ascii="仿宋_GB2312" w:hAnsi="微软雅黑" w:eastAsia="仿宋_GB2312"/>
                <w:b/>
                <w:sz w:val="24"/>
              </w:rPr>
            </w:pPr>
            <w:r>
              <w:rPr>
                <w:rFonts w:hint="eastAsia" w:ascii="仿宋_GB2312" w:hAnsi="微软雅黑" w:eastAsia="仿宋_GB2312"/>
                <w:b/>
                <w:sz w:val="24"/>
              </w:rPr>
              <w:t>单</w:t>
            </w:r>
          </w:p>
          <w:p>
            <w:pPr>
              <w:jc w:val="center"/>
              <w:rPr>
                <w:rFonts w:ascii="仿宋_GB2312" w:hAnsi="微软雅黑" w:eastAsia="仿宋_GB2312"/>
                <w:b/>
                <w:sz w:val="24"/>
              </w:rPr>
            </w:pPr>
            <w:r>
              <w:rPr>
                <w:rFonts w:hint="eastAsia" w:ascii="仿宋_GB2312" w:hAnsi="微软雅黑" w:eastAsia="仿宋_GB2312"/>
                <w:b/>
                <w:sz w:val="24"/>
              </w:rPr>
              <w:t>位</w:t>
            </w:r>
          </w:p>
          <w:p>
            <w:pPr>
              <w:jc w:val="center"/>
              <w:rPr>
                <w:rFonts w:ascii="仿宋_GB2312" w:hAnsi="微软雅黑" w:eastAsia="仿宋_GB2312"/>
                <w:b/>
                <w:sz w:val="24"/>
              </w:rPr>
            </w:pPr>
            <w:r>
              <w:rPr>
                <w:rFonts w:hint="eastAsia" w:ascii="仿宋_GB2312" w:hAnsi="微软雅黑" w:eastAsia="仿宋_GB2312"/>
                <w:b/>
                <w:sz w:val="24"/>
              </w:rPr>
              <w:t>意</w:t>
            </w:r>
          </w:p>
          <w:p>
            <w:pPr>
              <w:jc w:val="center"/>
              <w:rPr>
                <w:rFonts w:ascii="仿宋_GB2312" w:hAnsi="微软雅黑" w:eastAsia="仿宋_GB2312"/>
                <w:b/>
                <w:sz w:val="24"/>
              </w:rPr>
            </w:pPr>
            <w:r>
              <w:rPr>
                <w:rFonts w:hint="eastAsia" w:ascii="仿宋_GB2312" w:hAnsi="微软雅黑" w:eastAsia="仿宋_GB2312"/>
                <w:b/>
                <w:sz w:val="24"/>
              </w:rPr>
              <w:t>见</w:t>
            </w:r>
          </w:p>
        </w:tc>
        <w:tc>
          <w:tcPr>
            <w:tcW w:w="6946" w:type="dxa"/>
            <w:gridSpan w:val="6"/>
            <w:vAlign w:val="center"/>
          </w:tcPr>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jc w:val="center"/>
              <w:rPr>
                <w:rFonts w:ascii="仿宋_GB2312" w:hAnsi="微软雅黑" w:eastAsia="仿宋_GB2312"/>
                <w:sz w:val="24"/>
              </w:rPr>
            </w:pPr>
          </w:p>
          <w:p>
            <w:pPr>
              <w:ind w:firstLine="2400" w:firstLineChars="1000"/>
              <w:rPr>
                <w:rFonts w:ascii="仿宋_GB2312" w:hAnsi="微软雅黑" w:eastAsia="仿宋_GB2312"/>
                <w:sz w:val="24"/>
              </w:rPr>
            </w:pPr>
            <w:r>
              <w:rPr>
                <w:rFonts w:hint="eastAsia" w:ascii="仿宋_GB2312" w:hAnsi="微软雅黑" w:eastAsia="仿宋_GB2312"/>
                <w:sz w:val="24"/>
              </w:rPr>
              <w:t>单位负责人签字：（加盖单位公章）</w:t>
            </w:r>
          </w:p>
          <w:p>
            <w:pPr>
              <w:ind w:firstLine="2400" w:firstLineChars="1000"/>
              <w:jc w:val="center"/>
              <w:rPr>
                <w:rFonts w:ascii="仿宋_GB2312" w:hAnsi="微软雅黑" w:eastAsia="仿宋_GB2312"/>
                <w:sz w:val="24"/>
              </w:rPr>
            </w:pPr>
          </w:p>
          <w:p>
            <w:pPr>
              <w:jc w:val="center"/>
              <w:rPr>
                <w:rFonts w:ascii="仿宋_GB2312" w:hAnsi="微软雅黑" w:eastAsia="仿宋_GB2312"/>
                <w:sz w:val="24"/>
              </w:rPr>
            </w:pPr>
            <w:r>
              <w:rPr>
                <w:rFonts w:ascii="仿宋_GB2312" w:hAnsi="微软雅黑" w:eastAsia="仿宋_GB2312"/>
                <w:sz w:val="24"/>
              </w:rPr>
              <w:t xml:space="preserve">                </w:t>
            </w:r>
            <w:r>
              <w:rPr>
                <w:rFonts w:hint="eastAsia" w:ascii="仿宋_GB2312" w:hAnsi="微软雅黑" w:eastAsia="仿宋_GB2312"/>
                <w:sz w:val="24"/>
              </w:rPr>
              <w:t>年</w:t>
            </w:r>
            <w:r>
              <w:rPr>
                <w:rFonts w:ascii="仿宋_GB2312" w:hAnsi="微软雅黑" w:eastAsia="仿宋_GB2312"/>
                <w:sz w:val="24"/>
              </w:rPr>
              <w:t xml:space="preserve">     </w:t>
            </w:r>
            <w:r>
              <w:rPr>
                <w:rFonts w:hint="eastAsia" w:ascii="仿宋_GB2312" w:hAnsi="微软雅黑" w:eastAsia="仿宋_GB2312"/>
                <w:sz w:val="24"/>
              </w:rPr>
              <w:t>月</w:t>
            </w:r>
            <w:r>
              <w:rPr>
                <w:rFonts w:ascii="仿宋_GB2312" w:hAnsi="微软雅黑" w:eastAsia="仿宋_GB2312"/>
                <w:sz w:val="24"/>
              </w:rPr>
              <w:t xml:space="preserve">     </w:t>
            </w:r>
            <w:r>
              <w:rPr>
                <w:rFonts w:hint="eastAsia" w:ascii="仿宋_GB2312" w:hAnsi="微软雅黑" w:eastAsia="仿宋_GB2312"/>
                <w:sz w:val="24"/>
              </w:rPr>
              <w:t>日</w:t>
            </w:r>
          </w:p>
          <w:p>
            <w:pPr>
              <w:jc w:val="center"/>
              <w:rPr>
                <w:rFonts w:ascii="仿宋_GB2312" w:hAnsi="微软雅黑" w:eastAsia="仿宋_GB2312"/>
                <w:sz w:val="24"/>
              </w:rPr>
            </w:pPr>
          </w:p>
          <w:p>
            <w:pPr>
              <w:jc w:val="center"/>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0" w:hRule="atLeast"/>
        </w:trPr>
        <w:tc>
          <w:tcPr>
            <w:tcW w:w="1526" w:type="dxa"/>
            <w:vAlign w:val="center"/>
          </w:tcPr>
          <w:p>
            <w:pPr>
              <w:jc w:val="center"/>
              <w:rPr>
                <w:rFonts w:ascii="仿宋_GB2312" w:hAnsi="微软雅黑" w:eastAsia="仿宋_GB2312"/>
                <w:b/>
                <w:sz w:val="24"/>
              </w:rPr>
            </w:pPr>
            <w:r>
              <w:rPr>
                <w:rFonts w:hint="eastAsia" w:ascii="仿宋_GB2312" w:hAnsi="微软雅黑" w:eastAsia="仿宋_GB2312"/>
                <w:b/>
                <w:sz w:val="24"/>
              </w:rPr>
              <w:t>宣</w:t>
            </w:r>
          </w:p>
          <w:p>
            <w:pPr>
              <w:jc w:val="center"/>
              <w:rPr>
                <w:rFonts w:ascii="仿宋_GB2312" w:hAnsi="微软雅黑" w:eastAsia="仿宋_GB2312"/>
                <w:b/>
                <w:sz w:val="24"/>
              </w:rPr>
            </w:pPr>
            <w:r>
              <w:rPr>
                <w:rFonts w:hint="eastAsia" w:ascii="仿宋_GB2312" w:hAnsi="微软雅黑" w:eastAsia="仿宋_GB2312"/>
                <w:b/>
                <w:sz w:val="24"/>
              </w:rPr>
              <w:t>传</w:t>
            </w:r>
          </w:p>
          <w:p>
            <w:pPr>
              <w:jc w:val="center"/>
              <w:rPr>
                <w:rFonts w:ascii="仿宋_GB2312" w:hAnsi="微软雅黑" w:eastAsia="仿宋_GB2312"/>
                <w:b/>
                <w:sz w:val="24"/>
              </w:rPr>
            </w:pPr>
            <w:r>
              <w:rPr>
                <w:rFonts w:hint="eastAsia" w:ascii="仿宋_GB2312" w:hAnsi="微软雅黑" w:eastAsia="仿宋_GB2312"/>
                <w:b/>
                <w:sz w:val="24"/>
              </w:rPr>
              <w:t>部</w:t>
            </w:r>
          </w:p>
          <w:p>
            <w:pPr>
              <w:jc w:val="center"/>
              <w:rPr>
                <w:rFonts w:ascii="仿宋_GB2312" w:hAnsi="微软雅黑" w:eastAsia="仿宋_GB2312"/>
                <w:b/>
                <w:sz w:val="24"/>
              </w:rPr>
            </w:pPr>
            <w:r>
              <w:rPr>
                <w:rFonts w:hint="eastAsia" w:ascii="仿宋_GB2312" w:hAnsi="微软雅黑" w:eastAsia="仿宋_GB2312"/>
                <w:b/>
                <w:sz w:val="24"/>
              </w:rPr>
              <w:t>意</w:t>
            </w:r>
          </w:p>
          <w:p>
            <w:pPr>
              <w:jc w:val="center"/>
              <w:rPr>
                <w:rFonts w:ascii="仿宋_GB2312" w:hAnsi="微软雅黑" w:eastAsia="仿宋_GB2312"/>
                <w:b/>
                <w:sz w:val="24"/>
              </w:rPr>
            </w:pPr>
            <w:r>
              <w:rPr>
                <w:rFonts w:hint="eastAsia" w:ascii="仿宋_GB2312" w:hAnsi="微软雅黑" w:eastAsia="仿宋_GB2312"/>
                <w:b/>
                <w:sz w:val="24"/>
              </w:rPr>
              <w:t>见</w:t>
            </w:r>
          </w:p>
        </w:tc>
        <w:tc>
          <w:tcPr>
            <w:tcW w:w="6946" w:type="dxa"/>
            <w:gridSpan w:val="6"/>
            <w:vAlign w:val="center"/>
          </w:tcPr>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p>
          <w:p>
            <w:pPr>
              <w:ind w:right="960"/>
              <w:jc w:val="center"/>
              <w:rPr>
                <w:rFonts w:ascii="仿宋_GB2312" w:hAnsi="微软雅黑" w:eastAsia="仿宋_GB2312"/>
                <w:sz w:val="24"/>
              </w:rPr>
            </w:pPr>
            <w:r>
              <w:rPr>
                <w:rFonts w:ascii="仿宋_GB2312" w:hAnsi="微软雅黑" w:eastAsia="仿宋_GB2312"/>
                <w:sz w:val="24"/>
              </w:rPr>
              <w:t xml:space="preserve">    </w:t>
            </w:r>
            <w:r>
              <w:rPr>
                <w:rFonts w:hint="eastAsia" w:ascii="仿宋_GB2312" w:hAnsi="微软雅黑" w:eastAsia="仿宋_GB2312"/>
                <w:sz w:val="24"/>
              </w:rPr>
              <w:t>签</w:t>
            </w:r>
            <w:r>
              <w:rPr>
                <w:rFonts w:ascii="仿宋_GB2312" w:hAnsi="微软雅黑" w:eastAsia="仿宋_GB2312"/>
                <w:sz w:val="24"/>
              </w:rPr>
              <w:t xml:space="preserve">  </w:t>
            </w:r>
            <w:r>
              <w:rPr>
                <w:rFonts w:hint="eastAsia" w:ascii="仿宋_GB2312" w:hAnsi="微软雅黑" w:eastAsia="仿宋_GB2312"/>
                <w:sz w:val="24"/>
              </w:rPr>
              <w:t>章：</w:t>
            </w:r>
          </w:p>
          <w:p>
            <w:pPr>
              <w:jc w:val="center"/>
              <w:rPr>
                <w:rFonts w:ascii="仿宋_GB2312" w:hAnsi="微软雅黑" w:eastAsia="仿宋_GB2312"/>
                <w:sz w:val="24"/>
              </w:rPr>
            </w:pPr>
            <w:r>
              <w:rPr>
                <w:rFonts w:ascii="仿宋_GB2312" w:hAnsi="微软雅黑" w:eastAsia="仿宋_GB2312"/>
                <w:sz w:val="24"/>
              </w:rPr>
              <w:t xml:space="preserve">             </w:t>
            </w:r>
          </w:p>
          <w:p>
            <w:pPr>
              <w:jc w:val="center"/>
              <w:rPr>
                <w:rFonts w:ascii="仿宋_GB2312" w:hAnsi="微软雅黑" w:eastAsia="仿宋_GB2312"/>
                <w:sz w:val="24"/>
              </w:rPr>
            </w:pPr>
            <w:r>
              <w:rPr>
                <w:rFonts w:ascii="仿宋_GB2312" w:hAnsi="微软雅黑" w:eastAsia="仿宋_GB2312"/>
                <w:sz w:val="24"/>
              </w:rPr>
              <w:t xml:space="preserve">                </w:t>
            </w:r>
            <w:r>
              <w:rPr>
                <w:rFonts w:hint="eastAsia" w:ascii="仿宋_GB2312" w:hAnsi="微软雅黑" w:eastAsia="仿宋_GB2312"/>
                <w:sz w:val="24"/>
              </w:rPr>
              <w:t>年</w:t>
            </w:r>
            <w:r>
              <w:rPr>
                <w:rFonts w:ascii="仿宋_GB2312" w:hAnsi="微软雅黑" w:eastAsia="仿宋_GB2312"/>
                <w:sz w:val="24"/>
              </w:rPr>
              <w:t xml:space="preserve">     </w:t>
            </w:r>
            <w:r>
              <w:rPr>
                <w:rFonts w:hint="eastAsia" w:ascii="仿宋_GB2312" w:hAnsi="微软雅黑" w:eastAsia="仿宋_GB2312"/>
                <w:sz w:val="24"/>
              </w:rPr>
              <w:t>月</w:t>
            </w:r>
            <w:r>
              <w:rPr>
                <w:rFonts w:ascii="仿宋_GB2312" w:hAnsi="微软雅黑" w:eastAsia="仿宋_GB2312"/>
                <w:sz w:val="24"/>
              </w:rPr>
              <w:t xml:space="preserve">     </w:t>
            </w:r>
            <w:r>
              <w:rPr>
                <w:rFonts w:hint="eastAsia" w:ascii="仿宋_GB2312" w:hAnsi="微软雅黑" w:eastAsia="仿宋_GB2312"/>
                <w:sz w:val="24"/>
              </w:rPr>
              <w:t>日</w:t>
            </w:r>
          </w:p>
          <w:p>
            <w:pPr>
              <w:jc w:val="center"/>
              <w:rPr>
                <w:rFonts w:ascii="仿宋_GB2312" w:hAnsi="微软雅黑" w:eastAsia="仿宋_GB2312"/>
                <w:sz w:val="24"/>
              </w:rPr>
            </w:pPr>
          </w:p>
          <w:p>
            <w:pPr>
              <w:jc w:val="center"/>
              <w:rPr>
                <w:rFonts w:ascii="仿宋_GB2312" w:hAnsi="微软雅黑" w:eastAsia="仿宋_GB2312"/>
                <w:sz w:val="24"/>
              </w:rPr>
            </w:pPr>
          </w:p>
        </w:tc>
      </w:tr>
    </w:tbl>
    <w:p>
      <w:pPr>
        <w:spacing w:line="400" w:lineRule="exact"/>
        <w:rPr>
          <w:rFonts w:ascii="宋体"/>
          <w:szCs w:val="21"/>
        </w:rPr>
      </w:pPr>
      <w:r>
        <w:rPr>
          <w:rFonts w:hint="eastAsia" w:ascii="宋体" w:hAnsi="宋体"/>
          <w:szCs w:val="21"/>
        </w:rPr>
        <w:t>注：</w:t>
      </w:r>
      <w:r>
        <w:rPr>
          <w:rFonts w:ascii="宋体" w:hAnsi="宋体"/>
          <w:szCs w:val="21"/>
        </w:rPr>
        <w:t xml:space="preserve"> 1. </w:t>
      </w:r>
      <w:r>
        <w:rPr>
          <w:rFonts w:hint="eastAsia" w:ascii="宋体" w:hAnsi="宋体"/>
          <w:szCs w:val="21"/>
        </w:rPr>
        <w:t>此纸质备案表一式两份，党委宣传部、申办单位各留备案。</w:t>
      </w:r>
    </w:p>
    <w:p>
      <w:pPr>
        <w:spacing w:line="400" w:lineRule="exact"/>
        <w:ind w:firstLine="420" w:firstLineChars="200"/>
      </w:pPr>
      <w:r>
        <w:rPr>
          <w:rFonts w:ascii="宋体" w:hAnsi="宋体"/>
          <w:szCs w:val="21"/>
        </w:rPr>
        <w:t xml:space="preserve"> 2. </w:t>
      </w:r>
      <w:r>
        <w:rPr>
          <w:rFonts w:hint="eastAsia" w:ascii="宋体" w:hAnsi="宋体"/>
          <w:szCs w:val="21"/>
        </w:rPr>
        <w:t>账号名、管理人员或维护方式发生变更，应以书面形式报党委宣传部备案。</w:t>
      </w:r>
    </w:p>
    <w:sectPr>
      <w:footerReference r:id="rId3" w:type="default"/>
      <w:pgSz w:w="11906" w:h="16838"/>
      <w:pgMar w:top="1440" w:right="1474" w:bottom="1440" w:left="147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575D7"/>
    <w:rsid w:val="381575D7"/>
    <w:rsid w:val="48781986"/>
    <w:rsid w:val="4B416E8B"/>
    <w:rsid w:val="55596E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4">
    <w:name w:val="page number"/>
    <w:basedOn w:val="3"/>
    <w:qFormat/>
    <w:uiPriority w:val="99"/>
    <w:rPr>
      <w:rFonts w:cs="Times New Roman"/>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2018-05-24T08:31:00Z</dcterms:created>
  <dc:creator>月下莹子</dc:creator>
  <cp:lastModifiedBy>月下莹子</cp:lastModifiedBy>
  <cp:lastPrinted>2018-05-25T08:24:00Z</cp:lastPrinted>
  <dcterms:modified xsi:type="dcterms:W3CDTF">2018-05-28T02:47:23Z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